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snapToGrid/>
        <w:spacing w:before="62" w:line="380" w:lineRule="exact"/>
        <w:jc w:val="center"/>
        <w:textAlignment w:val="auto"/>
      </w:pPr>
      <w:r>
        <w:rPr>
          <w:rFonts w:hint="eastAsia"/>
          <w:spacing w:val="-2"/>
          <w:lang w:eastAsia="zh-CN"/>
        </w:rPr>
        <w:t>城镇供气供水供电</w:t>
      </w:r>
      <w:r>
        <w:rPr>
          <w:spacing w:val="-2"/>
        </w:rPr>
        <w:t>诚信计量承诺单位</w:t>
      </w:r>
      <w:r>
        <w:rPr>
          <w:rFonts w:hint="eastAsia"/>
          <w:spacing w:val="-2"/>
          <w:lang w:eastAsia="zh-CN"/>
        </w:rPr>
        <w:t>能力核查表</w:t>
      </w:r>
      <w:bookmarkStart w:id="0" w:name="_GoBack"/>
      <w:bookmarkEnd w:id="0"/>
    </w:p>
    <w:p>
      <w:pPr>
        <w:pStyle w:val="2"/>
        <w:keepNext w:val="0"/>
        <w:keepLines w:val="0"/>
        <w:pageBreakBefore w:val="0"/>
        <w:widowControl w:val="0"/>
        <w:kinsoku/>
        <w:wordWrap/>
        <w:overflowPunct/>
        <w:topLinePunct w:val="0"/>
        <w:autoSpaceDE w:val="0"/>
        <w:autoSpaceDN w:val="0"/>
        <w:bidi w:val="0"/>
        <w:adjustRightInd/>
        <w:snapToGrid/>
        <w:spacing w:before="12" w:line="380" w:lineRule="exact"/>
        <w:textAlignment w:val="auto"/>
        <w:rPr>
          <w:rFonts w:ascii="宋体" w:hAnsi="宋体" w:eastAsia="宋体" w:cs="宋体"/>
          <w:spacing w:val="-3"/>
          <w:sz w:val="18"/>
          <w:szCs w:val="22"/>
          <w:lang w:val="en-US" w:eastAsia="zh-CN" w:bidi="ar-SA"/>
        </w:rPr>
      </w:pPr>
    </w:p>
    <w:tbl>
      <w:tblPr>
        <w:tblStyle w:val="4"/>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268"/>
        <w:gridCol w:w="1610"/>
        <w:gridCol w:w="5386"/>
        <w:gridCol w:w="3586"/>
        <w:gridCol w:w="1228"/>
        <w:gridCol w:w="6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184" w:right="174"/>
              <w:jc w:val="center"/>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序号</w:t>
            </w:r>
          </w:p>
        </w:tc>
        <w:tc>
          <w:tcPr>
            <w:tcW w:w="1268" w:type="dxa"/>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324"/>
              <w:textAlignment w:val="auto"/>
              <w:rPr>
                <w:rFonts w:ascii="宋体" w:hAnsi="宋体" w:eastAsia="宋体" w:cs="宋体"/>
                <w:spacing w:val="-3"/>
                <w:sz w:val="18"/>
                <w:szCs w:val="22"/>
                <w:lang w:val="en-US" w:eastAsia="zh-CN" w:bidi="ar-SA"/>
              </w:rPr>
            </w:pPr>
            <w:r>
              <w:rPr>
                <w:rFonts w:hint="eastAsia" w:cs="宋体"/>
                <w:spacing w:val="-3"/>
                <w:sz w:val="18"/>
                <w:szCs w:val="22"/>
                <w:lang w:val="en-US" w:eastAsia="zh-CN" w:bidi="ar-SA"/>
              </w:rPr>
              <w:t>标准项目</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324"/>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标准条款</w:t>
            </w:r>
          </w:p>
        </w:tc>
        <w:tc>
          <w:tcPr>
            <w:tcW w:w="5386" w:type="dxa"/>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2066" w:right="2058"/>
              <w:jc w:val="center"/>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诚信计量要求</w:t>
            </w:r>
          </w:p>
        </w:tc>
        <w:tc>
          <w:tcPr>
            <w:tcW w:w="3586" w:type="dxa"/>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1326" w:right="1317"/>
              <w:jc w:val="center"/>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评价方法</w:t>
            </w:r>
          </w:p>
        </w:tc>
        <w:tc>
          <w:tcPr>
            <w:tcW w:w="1228"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294"/>
              <w:textAlignment w:val="auto"/>
              <w:rPr>
                <w:rFonts w:hint="default" w:ascii="宋体" w:hAnsi="宋体" w:eastAsia="宋体" w:cs="宋体"/>
                <w:spacing w:val="-3"/>
                <w:sz w:val="18"/>
                <w:szCs w:val="22"/>
                <w:lang w:val="en-US" w:eastAsia="zh-CN" w:bidi="ar-SA"/>
              </w:rPr>
            </w:pPr>
            <w:r>
              <w:rPr>
                <w:rFonts w:hint="eastAsia" w:ascii="宋体" w:hAnsi="宋体" w:eastAsia="宋体" w:cs="宋体"/>
                <w:spacing w:val="-3"/>
                <w:sz w:val="18"/>
                <w:szCs w:val="22"/>
                <w:lang w:val="en-US" w:eastAsia="zh-CN" w:bidi="ar-SA"/>
              </w:rPr>
              <w:t>评价记录</w:t>
            </w: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294"/>
              <w:textAlignment w:val="auto"/>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sz w:val="18"/>
              </w:rPr>
            </w:pPr>
          </w:p>
          <w:p>
            <w:pPr>
              <w:pStyle w:val="8"/>
              <w:keepNext w:val="0"/>
              <w:keepLines w:val="0"/>
              <w:pageBreakBefore w:val="0"/>
              <w:widowControl w:val="0"/>
              <w:kinsoku/>
              <w:wordWrap/>
              <w:overflowPunct/>
              <w:topLinePunct w:val="0"/>
              <w:autoSpaceDE w:val="0"/>
              <w:autoSpaceDN w:val="0"/>
              <w:bidi w:val="0"/>
              <w:adjustRightInd/>
              <w:snapToGrid/>
              <w:spacing w:before="147" w:line="380" w:lineRule="exact"/>
              <w:ind w:left="10"/>
              <w:jc w:val="center"/>
              <w:textAlignment w:val="auto"/>
              <w:rPr>
                <w:rFonts w:hint="eastAsia" w:ascii="Calibri" w:eastAsia="宋体"/>
                <w:sz w:val="18"/>
                <w:lang w:eastAsia="zh-CN"/>
              </w:rPr>
            </w:pPr>
            <w:r>
              <w:rPr>
                <w:rFonts w:hint="eastAsia" w:ascii="Calibri"/>
                <w:sz w:val="18"/>
                <w:lang w:val="en-US" w:eastAsia="zh-CN"/>
              </w:rPr>
              <w:t>1</w:t>
            </w:r>
          </w:p>
        </w:tc>
        <w:tc>
          <w:tcPr>
            <w:tcW w:w="1268" w:type="dxa"/>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sz w:val="18"/>
              </w:rPr>
            </w:pPr>
            <w:r>
              <w:rPr>
                <w:rFonts w:hint="eastAsia" w:ascii="黑体" w:hAnsi="黑体" w:eastAsia="黑体" w:cs="黑体"/>
                <w:b/>
                <w:bCs/>
                <w:sz w:val="18"/>
                <w:lang w:val="en-US" w:eastAsia="zh-CN"/>
              </w:rPr>
              <w:t xml:space="preserve">1 </w:t>
            </w:r>
            <w:r>
              <w:rPr>
                <w:sz w:val="18"/>
              </w:rPr>
              <w:t>基本要求</w:t>
            </w:r>
          </w:p>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eastAsia="宋体"/>
                <w:sz w:val="18"/>
                <w:lang w:eastAsia="zh-CN"/>
              </w:rPr>
            </w:pPr>
            <w:r>
              <w:rPr>
                <w:rFonts w:hint="eastAsia"/>
                <w:sz w:val="18"/>
                <w:lang w:val="en-US" w:eastAsia="zh-CN"/>
              </w:rPr>
              <w:t>(</w:t>
            </w:r>
            <w:r>
              <w:rPr>
                <w:rFonts w:hint="eastAsia"/>
                <w:sz w:val="18"/>
              </w:rPr>
              <w:t>总分</w:t>
            </w:r>
            <w:r>
              <w:rPr>
                <w:rFonts w:hint="eastAsia"/>
                <w:sz w:val="18"/>
                <w:lang w:val="en-US" w:eastAsia="zh-CN"/>
              </w:rPr>
              <w:t>20</w:t>
            </w:r>
            <w:r>
              <w:rPr>
                <w:rFonts w:hint="eastAsia"/>
                <w:sz w:val="18"/>
              </w:rPr>
              <w:t>分</w:t>
            </w:r>
            <w:r>
              <w:rPr>
                <w:rFonts w:hint="eastAsia"/>
                <w:sz w:val="18"/>
                <w:lang w:val="en-US" w:eastAsia="zh-CN"/>
              </w:rPr>
              <w:t>)</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sz w:val="18"/>
                <w:highlight w:val="none"/>
              </w:rPr>
            </w:pPr>
            <w:r>
              <w:rPr>
                <w:rFonts w:hint="eastAsia" w:ascii="黑体" w:hAnsi="黑体" w:eastAsia="黑体" w:cs="黑体"/>
                <w:b/>
                <w:bCs/>
                <w:sz w:val="18"/>
                <w:highlight w:val="none"/>
                <w:lang w:val="en-US" w:eastAsia="zh-CN"/>
              </w:rPr>
              <w:t xml:space="preserve">1 </w:t>
            </w:r>
            <w:r>
              <w:rPr>
                <w:sz w:val="18"/>
                <w:highlight w:val="none"/>
              </w:rPr>
              <w:t>建立诚</w:t>
            </w:r>
            <w:r>
              <w:rPr>
                <w:spacing w:val="-2"/>
                <w:sz w:val="18"/>
                <w:highlight w:val="none"/>
              </w:rPr>
              <w:t>信计量承诺制</w:t>
            </w:r>
            <w:r>
              <w:rPr>
                <w:sz w:val="18"/>
                <w:highlight w:val="none"/>
              </w:rPr>
              <w:t>度</w:t>
            </w:r>
          </w:p>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sz w:val="18"/>
                <w:highlight w:val="none"/>
              </w:rPr>
            </w:pPr>
            <w:r>
              <w:rPr>
                <w:sz w:val="18"/>
                <w:highlight w:val="none"/>
              </w:rPr>
              <w:t>（</w:t>
            </w:r>
            <w:r>
              <w:rPr>
                <w:rFonts w:hint="eastAsia" w:ascii="Calibri"/>
                <w:sz w:val="18"/>
                <w:lang w:val="en-US" w:eastAsia="zh-CN"/>
              </w:rPr>
              <w:t>20</w:t>
            </w:r>
            <w:r>
              <w:rPr>
                <w:rFonts w:hint="eastAsia" w:ascii="Calibri" w:eastAsia="宋体"/>
                <w:sz w:val="18"/>
                <w:lang w:val="en-US" w:eastAsia="zh-CN"/>
              </w:rPr>
              <w:t xml:space="preserve"> </w:t>
            </w:r>
            <w:r>
              <w:rPr>
                <w:sz w:val="18"/>
                <w:highlight w:val="none"/>
              </w:rPr>
              <w:t>分）</w:t>
            </w:r>
          </w:p>
        </w:tc>
        <w:tc>
          <w:tcPr>
            <w:tcW w:w="5386" w:type="dxa"/>
          </w:tcPr>
          <w:p>
            <w:pPr>
              <w:pStyle w:val="8"/>
              <w:keepNext w:val="0"/>
              <w:keepLines w:val="0"/>
              <w:pageBreakBefore w:val="0"/>
              <w:widowControl w:val="0"/>
              <w:numPr>
                <w:ilvl w:val="0"/>
                <w:numId w:val="1"/>
              </w:numPr>
              <w:kinsoku/>
              <w:wordWrap/>
              <w:overflowPunct/>
              <w:topLinePunct w:val="0"/>
              <w:autoSpaceDE w:val="0"/>
              <w:autoSpaceDN w:val="0"/>
              <w:bidi w:val="0"/>
              <w:adjustRightInd/>
              <w:snapToGrid/>
              <w:spacing w:line="380" w:lineRule="exact"/>
              <w:ind w:right="264"/>
              <w:textAlignment w:val="auto"/>
              <w:rPr>
                <w:rFonts w:hint="eastAsia"/>
                <w:spacing w:val="-2"/>
                <w:sz w:val="18"/>
                <w:highlight w:val="none"/>
                <w:lang w:eastAsia="zh-CN"/>
              </w:rPr>
            </w:pPr>
            <w:r>
              <w:rPr>
                <w:spacing w:val="-2"/>
                <w:sz w:val="18"/>
                <w:highlight w:val="none"/>
              </w:rPr>
              <w:t>应建立诚信计量承诺制度，</w:t>
            </w:r>
            <w:r>
              <w:rPr>
                <w:rFonts w:hint="eastAsia"/>
                <w:spacing w:val="-2"/>
                <w:sz w:val="18"/>
                <w:highlight w:val="none"/>
                <w:lang w:eastAsia="zh-CN"/>
              </w:rPr>
              <w:t>在经营场所内明显位置</w:t>
            </w:r>
            <w:r>
              <w:rPr>
                <w:spacing w:val="-2"/>
                <w:sz w:val="18"/>
                <w:highlight w:val="none"/>
              </w:rPr>
              <w:t>公开公示诚信计量</w:t>
            </w:r>
            <w:r>
              <w:rPr>
                <w:rFonts w:hint="eastAsia"/>
                <w:spacing w:val="-2"/>
                <w:sz w:val="18"/>
                <w:highlight w:val="none"/>
                <w:lang w:eastAsia="zh-CN"/>
              </w:rPr>
              <w:t>自我</w:t>
            </w:r>
            <w:r>
              <w:rPr>
                <w:spacing w:val="-2"/>
                <w:sz w:val="18"/>
                <w:highlight w:val="none"/>
              </w:rPr>
              <w:t>承诺</w:t>
            </w:r>
            <w:r>
              <w:rPr>
                <w:rFonts w:hint="eastAsia"/>
                <w:spacing w:val="-2"/>
                <w:sz w:val="18"/>
                <w:highlight w:val="none"/>
                <w:lang w:eastAsia="zh-CN"/>
              </w:rPr>
              <w:t>承诺书</w:t>
            </w:r>
            <w:r>
              <w:rPr>
                <w:spacing w:val="-2"/>
                <w:sz w:val="18"/>
                <w:highlight w:val="none"/>
              </w:rPr>
              <w:t>，主动接受社会监督</w:t>
            </w:r>
            <w:r>
              <w:rPr>
                <w:rFonts w:hint="eastAsia"/>
                <w:spacing w:val="-2"/>
                <w:sz w:val="18"/>
                <w:highlight w:val="none"/>
                <w:lang w:eastAsia="zh-CN"/>
              </w:rPr>
              <w:t>。</w:t>
            </w:r>
          </w:p>
          <w:p>
            <w:pPr>
              <w:pStyle w:val="8"/>
              <w:keepNext w:val="0"/>
              <w:keepLines w:val="0"/>
              <w:pageBreakBefore w:val="0"/>
              <w:widowControl w:val="0"/>
              <w:numPr>
                <w:ilvl w:val="0"/>
                <w:numId w:val="1"/>
              </w:numPr>
              <w:kinsoku/>
              <w:wordWrap/>
              <w:overflowPunct/>
              <w:topLinePunct w:val="0"/>
              <w:autoSpaceDE w:val="0"/>
              <w:autoSpaceDN w:val="0"/>
              <w:bidi w:val="0"/>
              <w:adjustRightInd/>
              <w:snapToGrid/>
              <w:spacing w:line="380" w:lineRule="exact"/>
              <w:ind w:right="264"/>
              <w:textAlignment w:val="auto"/>
              <w:rPr>
                <w:sz w:val="18"/>
                <w:highlight w:val="none"/>
              </w:rPr>
            </w:pPr>
            <w:r>
              <w:rPr>
                <w:rFonts w:hint="eastAsia"/>
                <w:spacing w:val="-2"/>
                <w:sz w:val="18"/>
                <w:highlight w:val="none"/>
                <w:lang w:eastAsia="zh-CN"/>
              </w:rPr>
              <w:t>建立相关制度，</w:t>
            </w:r>
            <w:r>
              <w:rPr>
                <w:spacing w:val="-2"/>
                <w:sz w:val="18"/>
                <w:highlight w:val="none"/>
              </w:rPr>
              <w:t>对未兑现诚信计量承诺的各类行为做出相应的改正和补偿</w:t>
            </w:r>
            <w:r>
              <w:rPr>
                <w:spacing w:val="-4"/>
                <w:sz w:val="18"/>
                <w:highlight w:val="none"/>
              </w:rPr>
              <w:t>规定</w:t>
            </w:r>
            <w:r>
              <w:rPr>
                <w:rFonts w:hint="eastAsia"/>
                <w:spacing w:val="-4"/>
                <w:sz w:val="18"/>
                <w:highlight w:val="none"/>
                <w:lang w:eastAsia="zh-CN"/>
              </w:rPr>
              <w:t>，并实施补偿。</w:t>
            </w:r>
          </w:p>
        </w:tc>
        <w:tc>
          <w:tcPr>
            <w:tcW w:w="3586" w:type="dxa"/>
          </w:tcPr>
          <w:p>
            <w:pPr>
              <w:pStyle w:val="8"/>
              <w:keepNext w:val="0"/>
              <w:keepLines w:val="0"/>
              <w:pageBreakBefore w:val="0"/>
              <w:widowControl w:val="0"/>
              <w:numPr>
                <w:ilvl w:val="0"/>
                <w:numId w:val="2"/>
              </w:numPr>
              <w:tabs>
                <w:tab w:val="left" w:pos="291"/>
              </w:tabs>
              <w:kinsoku/>
              <w:wordWrap/>
              <w:overflowPunct/>
              <w:topLinePunct w:val="0"/>
              <w:autoSpaceDE w:val="0"/>
              <w:autoSpaceDN w:val="0"/>
              <w:bidi w:val="0"/>
              <w:adjustRightInd/>
              <w:snapToGrid/>
              <w:spacing w:before="22" w:after="0" w:line="380" w:lineRule="exact"/>
              <w:ind w:left="108" w:right="223" w:firstLine="0"/>
              <w:jc w:val="left"/>
              <w:textAlignment w:val="auto"/>
              <w:rPr>
                <w:sz w:val="18"/>
              </w:rPr>
            </w:pPr>
            <w:r>
              <w:rPr>
                <w:spacing w:val="-2"/>
                <w:sz w:val="18"/>
              </w:rPr>
              <w:t>是否建立了诚信计量承诺制度，是否</w:t>
            </w:r>
            <w:r>
              <w:rPr>
                <w:spacing w:val="-11"/>
                <w:sz w:val="18"/>
              </w:rPr>
              <w:t>已经公开公示承诺。</w:t>
            </w:r>
            <w:r>
              <w:rPr>
                <w:rFonts w:hint="eastAsia"/>
                <w:spacing w:val="-11"/>
                <w:sz w:val="18"/>
                <w:lang w:eastAsia="zh-CN"/>
              </w:rPr>
              <w:t>（</w:t>
            </w:r>
            <w:r>
              <w:rPr>
                <w:rFonts w:hint="eastAsia"/>
                <w:sz w:val="18"/>
                <w:lang w:val="en-US" w:eastAsia="zh-CN"/>
              </w:rPr>
              <w:t>10</w:t>
            </w:r>
            <w:r>
              <w:rPr>
                <w:spacing w:val="-20"/>
                <w:sz w:val="18"/>
              </w:rPr>
              <w:t>分</w:t>
            </w:r>
            <w:r>
              <w:rPr>
                <w:sz w:val="18"/>
              </w:rPr>
              <w:t>）</w:t>
            </w:r>
          </w:p>
          <w:p>
            <w:pPr>
              <w:pStyle w:val="8"/>
              <w:keepNext w:val="0"/>
              <w:keepLines w:val="0"/>
              <w:pageBreakBefore w:val="0"/>
              <w:widowControl w:val="0"/>
              <w:numPr>
                <w:ilvl w:val="0"/>
                <w:numId w:val="2"/>
              </w:numPr>
              <w:tabs>
                <w:tab w:val="left" w:pos="291"/>
              </w:tabs>
              <w:kinsoku/>
              <w:wordWrap/>
              <w:overflowPunct/>
              <w:topLinePunct w:val="0"/>
              <w:autoSpaceDE w:val="0"/>
              <w:autoSpaceDN w:val="0"/>
              <w:bidi w:val="0"/>
              <w:adjustRightInd/>
              <w:snapToGrid/>
              <w:spacing w:before="0" w:after="0" w:line="380" w:lineRule="exact"/>
              <w:ind w:left="290" w:right="0" w:hanging="183"/>
              <w:jc w:val="left"/>
              <w:textAlignment w:val="auto"/>
              <w:rPr>
                <w:spacing w:val="-10"/>
                <w:sz w:val="18"/>
              </w:rPr>
            </w:pPr>
            <w:r>
              <w:rPr>
                <w:spacing w:val="-3"/>
                <w:sz w:val="18"/>
              </w:rPr>
              <w:t>承诺的内容是否包含了本要求的内</w:t>
            </w:r>
            <w:r>
              <w:rPr>
                <w:spacing w:val="-46"/>
                <w:sz w:val="18"/>
              </w:rPr>
              <w:t>容。</w:t>
            </w:r>
            <w:r>
              <w:rPr>
                <w:rFonts w:hint="eastAsia"/>
                <w:spacing w:val="-46"/>
                <w:sz w:val="18"/>
                <w:lang w:val="en-US" w:eastAsia="zh-CN"/>
              </w:rPr>
              <w:t xml:space="preserve"> </w:t>
            </w:r>
          </w:p>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0" w:after="0" w:line="380" w:lineRule="exact"/>
              <w:ind w:left="107" w:leftChars="0" w:right="0" w:rightChars="0"/>
              <w:jc w:val="left"/>
              <w:textAlignment w:val="auto"/>
              <w:rPr>
                <w:spacing w:val="-10"/>
                <w:sz w:val="18"/>
              </w:rPr>
            </w:pPr>
            <w:r>
              <w:rPr>
                <w:sz w:val="18"/>
              </w:rPr>
              <w:t>（</w:t>
            </w:r>
            <w:r>
              <w:rPr>
                <w:rFonts w:hint="eastAsia"/>
                <w:sz w:val="18"/>
                <w:lang w:val="en-US" w:eastAsia="zh-CN"/>
              </w:rPr>
              <w:t>5</w:t>
            </w:r>
            <w:r>
              <w:rPr>
                <w:spacing w:val="-22"/>
                <w:sz w:val="18"/>
              </w:rPr>
              <w:t>分</w:t>
            </w:r>
            <w:r>
              <w:rPr>
                <w:spacing w:val="-10"/>
                <w:sz w:val="18"/>
              </w:rPr>
              <w:t>）</w:t>
            </w:r>
          </w:p>
          <w:p>
            <w:pPr>
              <w:pStyle w:val="8"/>
              <w:keepNext w:val="0"/>
              <w:keepLines w:val="0"/>
              <w:pageBreakBefore w:val="0"/>
              <w:widowControl w:val="0"/>
              <w:numPr>
                <w:ilvl w:val="0"/>
                <w:numId w:val="2"/>
              </w:numPr>
              <w:kinsoku/>
              <w:wordWrap/>
              <w:overflowPunct/>
              <w:topLinePunct w:val="0"/>
              <w:autoSpaceDE w:val="0"/>
              <w:autoSpaceDN w:val="0"/>
              <w:bidi w:val="0"/>
              <w:adjustRightInd/>
              <w:snapToGrid/>
              <w:spacing w:before="9" w:line="380" w:lineRule="exact"/>
              <w:ind w:left="290" w:leftChars="0" w:hanging="183" w:firstLineChars="0"/>
              <w:textAlignment w:val="auto"/>
              <w:rPr>
                <w:rFonts w:hint="default" w:eastAsia="宋体"/>
                <w:spacing w:val="-10"/>
                <w:sz w:val="18"/>
                <w:lang w:val="en-US" w:eastAsia="zh-CN"/>
              </w:rPr>
            </w:pPr>
            <w:r>
              <w:rPr>
                <w:rFonts w:hint="eastAsia"/>
                <w:spacing w:val="-3"/>
                <w:sz w:val="18"/>
                <w:lang w:val="en-US" w:eastAsia="zh-CN"/>
              </w:rPr>
              <w:t>计量纠纷实施补偿的记录。（5分)</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80" w:lineRule="exact"/>
              <w:ind w:left="10"/>
              <w:jc w:val="center"/>
              <w:textAlignment w:val="auto"/>
              <w:rPr>
                <w:rFonts w:hint="eastAsia" w:ascii="Calibri" w:eastAsia="宋体"/>
                <w:sz w:val="18"/>
                <w:lang w:val="en-US" w:eastAsia="zh-CN"/>
              </w:rPr>
            </w:pPr>
            <w:r>
              <w:rPr>
                <w:rFonts w:hint="eastAsia" w:ascii="Calibri"/>
                <w:sz w:val="18"/>
                <w:lang w:val="en-US" w:eastAsia="zh-CN"/>
              </w:rPr>
              <w:t>2</w:t>
            </w:r>
          </w:p>
        </w:tc>
        <w:tc>
          <w:tcPr>
            <w:tcW w:w="1268" w:type="dxa"/>
            <w:vMerge w:val="restart"/>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sz w:val="18"/>
                <w:lang w:val="en-US" w:eastAsia="zh-CN"/>
              </w:rPr>
            </w:pPr>
            <w:r>
              <w:rPr>
                <w:rFonts w:hint="eastAsia" w:ascii="黑体" w:hAnsi="黑体" w:eastAsia="黑体" w:cs="黑体"/>
                <w:b w:val="0"/>
                <w:bCs w:val="0"/>
                <w:sz w:val="18"/>
                <w:lang w:val="en-US" w:eastAsia="zh-CN"/>
              </w:rPr>
              <w:t xml:space="preserve">2 </w:t>
            </w:r>
            <w:r>
              <w:rPr>
                <w:rFonts w:hint="eastAsia"/>
                <w:sz w:val="18"/>
                <w:lang w:val="en-US" w:eastAsia="zh-CN"/>
              </w:rPr>
              <w:t>技术要求</w:t>
            </w:r>
          </w:p>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sz w:val="18"/>
                <w:lang w:val="en-US" w:eastAsia="zh-CN"/>
              </w:rPr>
            </w:pPr>
            <w:r>
              <w:rPr>
                <w:rFonts w:hint="eastAsia"/>
                <w:sz w:val="18"/>
                <w:lang w:val="en-US" w:eastAsia="zh-CN"/>
              </w:rPr>
              <w:t>(总分50分)</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ind w:left="342"/>
              <w:textAlignment w:val="auto"/>
              <w:rPr>
                <w:sz w:val="18"/>
                <w:highlight w:val="none"/>
              </w:rPr>
            </w:pPr>
            <w:r>
              <w:rPr>
                <w:rFonts w:hint="eastAsia" w:ascii="Calibri" w:eastAsia="宋体"/>
                <w:sz w:val="18"/>
                <w:highlight w:val="none"/>
                <w:lang w:val="en-US" w:eastAsia="zh-CN"/>
              </w:rPr>
              <w:t>2</w:t>
            </w:r>
            <w:r>
              <w:rPr>
                <w:rFonts w:ascii="Calibri" w:eastAsia="Calibri"/>
                <w:sz w:val="18"/>
                <w:highlight w:val="none"/>
              </w:rPr>
              <w:t>.1</w:t>
            </w:r>
            <w:r>
              <w:rPr>
                <w:rFonts w:ascii="Calibri" w:eastAsia="Calibri"/>
                <w:spacing w:val="49"/>
                <w:sz w:val="18"/>
                <w:highlight w:val="none"/>
              </w:rPr>
              <w:t xml:space="preserve"> </w:t>
            </w:r>
            <w:r>
              <w:rPr>
                <w:spacing w:val="-5"/>
                <w:sz w:val="18"/>
                <w:highlight w:val="none"/>
              </w:rPr>
              <w:t>人员</w:t>
            </w:r>
          </w:p>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sz w:val="18"/>
                <w:highlight w:val="none"/>
              </w:rPr>
            </w:pPr>
            <w:r>
              <w:rPr>
                <w:sz w:val="18"/>
                <w:highlight w:val="none"/>
              </w:rPr>
              <w:t>（</w:t>
            </w:r>
            <w:r>
              <w:rPr>
                <w:rFonts w:hint="eastAsia" w:ascii="Calibri"/>
                <w:sz w:val="18"/>
                <w:highlight w:val="none"/>
                <w:lang w:val="en-US" w:eastAsia="zh-CN"/>
              </w:rPr>
              <w:t>10</w:t>
            </w:r>
            <w:r>
              <w:rPr>
                <w:sz w:val="18"/>
                <w:highlight w:val="none"/>
              </w:rPr>
              <w:t>分</w:t>
            </w:r>
            <w:r>
              <w:rPr>
                <w:spacing w:val="-10"/>
                <w:sz w:val="18"/>
                <w:highlight w:val="none"/>
              </w:rPr>
              <w:t>）</w:t>
            </w:r>
          </w:p>
        </w:tc>
        <w:tc>
          <w:tcPr>
            <w:tcW w:w="5386" w:type="dxa"/>
          </w:tcPr>
          <w:p>
            <w:pPr>
              <w:pStyle w:val="8"/>
              <w:keepNext w:val="0"/>
              <w:keepLines w:val="0"/>
              <w:pageBreakBefore w:val="0"/>
              <w:widowControl w:val="0"/>
              <w:numPr>
                <w:ilvl w:val="0"/>
                <w:numId w:val="3"/>
              </w:numPr>
              <w:tabs>
                <w:tab w:val="left" w:pos="290"/>
              </w:tabs>
              <w:kinsoku/>
              <w:wordWrap/>
              <w:overflowPunct/>
              <w:topLinePunct w:val="0"/>
              <w:autoSpaceDE w:val="0"/>
              <w:autoSpaceDN w:val="0"/>
              <w:bidi w:val="0"/>
              <w:adjustRightInd/>
              <w:snapToGrid/>
              <w:spacing w:before="12" w:after="0" w:line="380" w:lineRule="exact"/>
              <w:ind w:left="107" w:right="85" w:firstLine="0"/>
              <w:jc w:val="left"/>
              <w:textAlignment w:val="auto"/>
              <w:rPr>
                <w:sz w:val="18"/>
                <w:szCs w:val="22"/>
                <w:highlight w:val="none"/>
              </w:rPr>
            </w:pPr>
            <w:r>
              <w:rPr>
                <w:spacing w:val="-2"/>
                <w:sz w:val="18"/>
                <w:szCs w:val="22"/>
                <w:highlight w:val="none"/>
              </w:rPr>
              <w:t>应配备足够的计量管理、技术和监督人员</w:t>
            </w:r>
            <w:r>
              <w:rPr>
                <w:rFonts w:hint="eastAsia"/>
                <w:spacing w:val="-2"/>
                <w:sz w:val="18"/>
                <w:szCs w:val="22"/>
                <w:highlight w:val="none"/>
                <w:lang w:eastAsia="zh-CN"/>
              </w:rPr>
              <w:t>。</w:t>
            </w:r>
          </w:p>
          <w:p>
            <w:pPr>
              <w:pStyle w:val="8"/>
              <w:keepNext w:val="0"/>
              <w:keepLines w:val="0"/>
              <w:pageBreakBefore w:val="0"/>
              <w:widowControl w:val="0"/>
              <w:numPr>
                <w:ilvl w:val="0"/>
                <w:numId w:val="3"/>
              </w:numPr>
              <w:tabs>
                <w:tab w:val="left" w:pos="290"/>
              </w:tabs>
              <w:kinsoku/>
              <w:wordWrap/>
              <w:overflowPunct/>
              <w:topLinePunct w:val="0"/>
              <w:autoSpaceDE w:val="0"/>
              <w:autoSpaceDN w:val="0"/>
              <w:bidi w:val="0"/>
              <w:adjustRightInd/>
              <w:snapToGrid/>
              <w:spacing w:before="0" w:after="0" w:line="380" w:lineRule="exact"/>
              <w:ind w:left="107" w:right="97" w:firstLine="0"/>
              <w:jc w:val="both"/>
              <w:textAlignment w:val="auto"/>
              <w:rPr>
                <w:sz w:val="18"/>
                <w:szCs w:val="22"/>
                <w:highlight w:val="none"/>
              </w:rPr>
            </w:pPr>
            <w:r>
              <w:rPr>
                <w:spacing w:val="-2"/>
                <w:sz w:val="18"/>
                <w:szCs w:val="22"/>
                <w:highlight w:val="none"/>
              </w:rPr>
              <w:t>应对有关诚信计量岗位人员的资格、知识、培训、技能、授权等做出规定，并形成文件。应保存人员的相关记录。</w:t>
            </w:r>
          </w:p>
          <w:p>
            <w:pPr>
              <w:pStyle w:val="8"/>
              <w:keepNext w:val="0"/>
              <w:keepLines w:val="0"/>
              <w:pageBreakBefore w:val="0"/>
              <w:widowControl w:val="0"/>
              <w:numPr>
                <w:ilvl w:val="0"/>
                <w:numId w:val="3"/>
              </w:numPr>
              <w:tabs>
                <w:tab w:val="left" w:pos="290"/>
              </w:tabs>
              <w:kinsoku/>
              <w:wordWrap/>
              <w:overflowPunct/>
              <w:topLinePunct w:val="0"/>
              <w:autoSpaceDE w:val="0"/>
              <w:autoSpaceDN w:val="0"/>
              <w:bidi w:val="0"/>
              <w:adjustRightInd/>
              <w:snapToGrid/>
              <w:spacing w:before="0" w:after="0" w:line="380" w:lineRule="exact"/>
              <w:ind w:left="107" w:right="265" w:firstLine="0"/>
              <w:jc w:val="left"/>
              <w:textAlignment w:val="auto"/>
              <w:rPr>
                <w:spacing w:val="-2"/>
                <w:sz w:val="18"/>
                <w:highlight w:val="none"/>
              </w:rPr>
            </w:pPr>
            <w:r>
              <w:rPr>
                <w:spacing w:val="-2"/>
                <w:sz w:val="18"/>
                <w:szCs w:val="22"/>
                <w:highlight w:val="none"/>
              </w:rPr>
              <w:t>企业应制定人员培训工作程序，确定培训政策，开展人员教育、技能培训。</w:t>
            </w:r>
            <w:r>
              <w:rPr>
                <w:rFonts w:hint="eastAsia"/>
                <w:spacing w:val="-2"/>
                <w:sz w:val="18"/>
                <w:szCs w:val="22"/>
                <w:highlight w:val="none"/>
                <w:lang w:eastAsia="zh-CN"/>
              </w:rPr>
              <w:t>应保存培训的相关记录。</w:t>
            </w:r>
          </w:p>
        </w:tc>
        <w:tc>
          <w:tcPr>
            <w:tcW w:w="3586" w:type="dxa"/>
          </w:tcPr>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22" w:after="0" w:line="380" w:lineRule="exact"/>
              <w:ind w:left="108" w:leftChars="0" w:right="223" w:rightChars="0"/>
              <w:jc w:val="left"/>
              <w:textAlignment w:val="auto"/>
              <w:rPr>
                <w:rFonts w:hint="eastAsia"/>
                <w:spacing w:val="-2"/>
                <w:sz w:val="18"/>
                <w:lang w:eastAsia="zh-CN"/>
              </w:rPr>
            </w:pPr>
            <w:r>
              <w:rPr>
                <w:rFonts w:hint="eastAsia"/>
                <w:spacing w:val="-2"/>
                <w:sz w:val="18"/>
                <w:lang w:val="en-US" w:eastAsia="zh-CN"/>
              </w:rPr>
              <w:t xml:space="preserve"> 1.</w:t>
            </w:r>
            <w:r>
              <w:rPr>
                <w:spacing w:val="-2"/>
                <w:sz w:val="18"/>
              </w:rPr>
              <w:t>是否有</w:t>
            </w:r>
            <w:r>
              <w:rPr>
                <w:rFonts w:hint="eastAsia"/>
                <w:spacing w:val="-2"/>
                <w:sz w:val="18"/>
                <w:lang w:eastAsia="zh-CN"/>
              </w:rPr>
              <w:t>制度</w:t>
            </w:r>
            <w:r>
              <w:rPr>
                <w:spacing w:val="-2"/>
                <w:sz w:val="18"/>
              </w:rPr>
              <w:t>文件对各有关岗位的人员的</w:t>
            </w:r>
            <w:r>
              <w:rPr>
                <w:rFonts w:hint="eastAsia"/>
                <w:spacing w:val="-2"/>
                <w:sz w:val="18"/>
                <w:lang w:eastAsia="zh-CN"/>
              </w:rPr>
              <w:t>职责、</w:t>
            </w:r>
            <w:r>
              <w:rPr>
                <w:spacing w:val="-2"/>
                <w:sz w:val="18"/>
              </w:rPr>
              <w:t>资格、技能等作出规定，是否有人员记录（档案）。（</w:t>
            </w:r>
            <w:r>
              <w:rPr>
                <w:rFonts w:hint="eastAsia"/>
                <w:spacing w:val="-2"/>
                <w:sz w:val="18"/>
                <w:lang w:val="en-US" w:eastAsia="zh-CN"/>
              </w:rPr>
              <w:t>5</w:t>
            </w:r>
            <w:r>
              <w:rPr>
                <w:spacing w:val="-2"/>
                <w:sz w:val="18"/>
              </w:rPr>
              <w:t xml:space="preserve"> 分</w:t>
            </w:r>
            <w:r>
              <w:rPr>
                <w:rFonts w:hint="eastAsia"/>
                <w:spacing w:val="-2"/>
                <w:sz w:val="18"/>
                <w:lang w:eastAsia="zh-CN"/>
              </w:rPr>
              <w:t>）</w:t>
            </w:r>
          </w:p>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22" w:after="0" w:line="380" w:lineRule="exact"/>
              <w:ind w:left="108" w:leftChars="0" w:right="223" w:rightChars="0"/>
              <w:jc w:val="left"/>
              <w:textAlignment w:val="auto"/>
              <w:rPr>
                <w:rFonts w:hint="eastAsia"/>
                <w:spacing w:val="-2"/>
                <w:sz w:val="18"/>
                <w:lang w:eastAsia="zh-CN"/>
              </w:rPr>
            </w:pPr>
            <w:r>
              <w:rPr>
                <w:rFonts w:hint="eastAsia"/>
                <w:spacing w:val="-2"/>
                <w:sz w:val="18"/>
                <w:lang w:val="en-US" w:eastAsia="zh-CN"/>
              </w:rPr>
              <w:t>2.是否有计量业务知识培训记录。(5</w:t>
            </w:r>
            <w:r>
              <w:rPr>
                <w:spacing w:val="-2"/>
                <w:sz w:val="18"/>
              </w:rPr>
              <w:t>分</w:t>
            </w:r>
            <w:r>
              <w:rPr>
                <w:rFonts w:hint="eastAsia"/>
                <w:spacing w:val="-2"/>
                <w:sz w:val="18"/>
                <w:lang w:val="en-US" w:eastAsia="zh-CN"/>
              </w:rPr>
              <w:t>)</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0"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80" w:lineRule="exact"/>
              <w:ind w:left="10"/>
              <w:jc w:val="center"/>
              <w:textAlignment w:val="auto"/>
              <w:rPr>
                <w:rFonts w:hint="eastAsia" w:ascii="Calibri" w:eastAsia="宋体"/>
                <w:sz w:val="18"/>
                <w:lang w:val="en-US" w:eastAsia="zh-CN"/>
              </w:rPr>
            </w:pPr>
            <w:r>
              <w:rPr>
                <w:rFonts w:hint="eastAsia" w:ascii="Calibri"/>
                <w:sz w:val="18"/>
                <w:lang w:val="en-US" w:eastAsia="zh-CN"/>
              </w:rPr>
              <w:t>3</w:t>
            </w:r>
          </w:p>
        </w:tc>
        <w:tc>
          <w:tcPr>
            <w:tcW w:w="1268" w:type="dxa"/>
            <w:vMerge w:val="continue"/>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sz w:val="18"/>
                <w:lang w:val="en-US" w:eastAsia="zh-CN"/>
              </w:rPr>
            </w:pP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ind w:left="364"/>
              <w:textAlignment w:val="auto"/>
              <w:rPr>
                <w:rFonts w:hint="eastAsia" w:eastAsia="宋体"/>
                <w:sz w:val="18"/>
                <w:lang w:eastAsia="zh-CN"/>
              </w:rPr>
            </w:pPr>
            <w:r>
              <w:rPr>
                <w:rFonts w:hint="eastAsia" w:ascii="Calibri" w:eastAsia="宋体"/>
                <w:sz w:val="18"/>
                <w:lang w:val="en-US" w:eastAsia="zh-CN"/>
              </w:rPr>
              <w:t>2</w:t>
            </w:r>
            <w:r>
              <w:rPr>
                <w:rFonts w:ascii="Calibri" w:eastAsia="Calibri"/>
                <w:sz w:val="18"/>
              </w:rPr>
              <w:t>.2</w:t>
            </w:r>
            <w:r>
              <w:rPr>
                <w:rFonts w:ascii="Calibri" w:eastAsia="Calibri"/>
                <w:spacing w:val="4"/>
                <w:sz w:val="18"/>
              </w:rPr>
              <w:t xml:space="preserve"> </w:t>
            </w:r>
            <w:r>
              <w:rPr>
                <w:spacing w:val="-5"/>
                <w:sz w:val="18"/>
              </w:rPr>
              <w:t>设备</w:t>
            </w:r>
            <w:r>
              <w:rPr>
                <w:rFonts w:hint="eastAsia"/>
                <w:spacing w:val="-5"/>
                <w:sz w:val="18"/>
                <w:lang w:eastAsia="zh-CN"/>
              </w:rPr>
              <w:t>管理</w:t>
            </w:r>
          </w:p>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sz w:val="18"/>
              </w:rPr>
            </w:pPr>
            <w:r>
              <w:rPr>
                <w:rFonts w:hint="eastAsia" w:ascii="Calibri" w:eastAsia="宋体"/>
                <w:sz w:val="18"/>
                <w:lang w:val="en-US" w:eastAsia="zh-CN"/>
              </w:rPr>
              <w:t>（2</w:t>
            </w:r>
            <w:r>
              <w:rPr>
                <w:rFonts w:hint="eastAsia" w:ascii="Calibri" w:eastAsia="宋体"/>
                <w:b w:val="0"/>
                <w:bCs w:val="0"/>
                <w:sz w:val="18"/>
                <w:lang w:val="en-US" w:eastAsia="zh-CN"/>
              </w:rPr>
              <w:t>0</w:t>
            </w:r>
            <w:r>
              <w:rPr>
                <w:b w:val="0"/>
                <w:bCs w:val="0"/>
                <w:sz w:val="18"/>
              </w:rPr>
              <w:t>分</w:t>
            </w:r>
            <w:r>
              <w:rPr>
                <w:b w:val="0"/>
                <w:bCs w:val="0"/>
                <w:spacing w:val="-10"/>
                <w:sz w:val="18"/>
              </w:rPr>
              <w:t>）</w:t>
            </w:r>
          </w:p>
        </w:tc>
        <w:tc>
          <w:tcPr>
            <w:tcW w:w="5386" w:type="dxa"/>
          </w:tcPr>
          <w:p>
            <w:pPr>
              <w:pStyle w:val="8"/>
              <w:keepNext w:val="0"/>
              <w:keepLines w:val="0"/>
              <w:pageBreakBefore w:val="0"/>
              <w:widowControl w:val="0"/>
              <w:numPr>
                <w:ilvl w:val="0"/>
                <w:numId w:val="4"/>
              </w:numPr>
              <w:tabs>
                <w:tab w:val="left" w:pos="290"/>
              </w:tabs>
              <w:kinsoku/>
              <w:wordWrap/>
              <w:overflowPunct/>
              <w:topLinePunct w:val="0"/>
              <w:autoSpaceDE w:val="0"/>
              <w:autoSpaceDN w:val="0"/>
              <w:bidi w:val="0"/>
              <w:adjustRightInd/>
              <w:snapToGrid/>
              <w:spacing w:before="12" w:after="0" w:line="380" w:lineRule="exact"/>
              <w:ind w:left="107" w:right="95" w:firstLine="0"/>
              <w:jc w:val="both"/>
              <w:textAlignment w:val="auto"/>
              <w:rPr>
                <w:sz w:val="18"/>
                <w:highlight w:val="none"/>
              </w:rPr>
            </w:pPr>
            <w:r>
              <w:rPr>
                <w:spacing w:val="-2"/>
                <w:sz w:val="18"/>
                <w:highlight w:val="none"/>
              </w:rPr>
              <w:t>企业应按</w:t>
            </w:r>
            <w:r>
              <w:rPr>
                <w:rFonts w:hint="eastAsia"/>
                <w:spacing w:val="-2"/>
                <w:sz w:val="18"/>
                <w:highlight w:val="none"/>
                <w:lang w:eastAsia="zh-CN"/>
              </w:rPr>
              <w:t>选购依法取得《计量器具型式批准证书》的计量器具，不得选购和使用未取得计量器具型式批准证书或与型式批准不一致的计量器具</w:t>
            </w:r>
            <w:r>
              <w:rPr>
                <w:spacing w:val="-2"/>
                <w:sz w:val="18"/>
                <w:highlight w:val="none"/>
              </w:rPr>
              <w:t>。</w:t>
            </w:r>
          </w:p>
          <w:p>
            <w:pPr>
              <w:pStyle w:val="8"/>
              <w:keepNext w:val="0"/>
              <w:keepLines w:val="0"/>
              <w:pageBreakBefore w:val="0"/>
              <w:widowControl w:val="0"/>
              <w:numPr>
                <w:ilvl w:val="0"/>
                <w:numId w:val="4"/>
              </w:numPr>
              <w:tabs>
                <w:tab w:val="left" w:pos="290"/>
              </w:tabs>
              <w:kinsoku/>
              <w:wordWrap/>
              <w:overflowPunct/>
              <w:topLinePunct w:val="0"/>
              <w:autoSpaceDE w:val="0"/>
              <w:autoSpaceDN w:val="0"/>
              <w:bidi w:val="0"/>
              <w:adjustRightInd/>
              <w:snapToGrid/>
              <w:spacing w:before="12" w:after="0" w:line="380" w:lineRule="exact"/>
              <w:ind w:left="107" w:right="95" w:firstLine="0"/>
              <w:jc w:val="both"/>
              <w:textAlignment w:val="auto"/>
              <w:rPr>
                <w:sz w:val="18"/>
                <w:highlight w:val="none"/>
              </w:rPr>
            </w:pPr>
            <w:r>
              <w:rPr>
                <w:rFonts w:hint="eastAsia"/>
                <w:spacing w:val="-2"/>
                <w:sz w:val="18"/>
                <w:highlight w:val="none"/>
                <w:lang w:eastAsia="zh-CN"/>
              </w:rPr>
              <w:t>应当建立完善的计量器具台账，并实施动态更新管理，定期检查计量器具台账的更新情况。</w:t>
            </w:r>
          </w:p>
          <w:p>
            <w:pPr>
              <w:pStyle w:val="8"/>
              <w:keepNext w:val="0"/>
              <w:keepLines w:val="0"/>
              <w:pageBreakBefore w:val="0"/>
              <w:widowControl w:val="0"/>
              <w:numPr>
                <w:ilvl w:val="0"/>
                <w:numId w:val="0"/>
              </w:numPr>
              <w:tabs>
                <w:tab w:val="left" w:pos="290"/>
              </w:tabs>
              <w:kinsoku/>
              <w:wordWrap/>
              <w:overflowPunct/>
              <w:topLinePunct w:val="0"/>
              <w:autoSpaceDE w:val="0"/>
              <w:autoSpaceDN w:val="0"/>
              <w:bidi w:val="0"/>
              <w:adjustRightInd/>
              <w:snapToGrid/>
              <w:spacing w:before="12" w:after="0" w:line="380" w:lineRule="exact"/>
              <w:ind w:left="107" w:leftChars="0" w:right="95" w:rightChars="0"/>
              <w:jc w:val="both"/>
              <w:textAlignment w:val="auto"/>
              <w:rPr>
                <w:spacing w:val="-2"/>
                <w:sz w:val="18"/>
                <w:highlight w:val="none"/>
              </w:rPr>
            </w:pPr>
            <w:r>
              <w:rPr>
                <w:rFonts w:hint="eastAsia"/>
                <w:spacing w:val="-2"/>
                <w:sz w:val="18"/>
                <w:highlight w:val="none"/>
                <w:lang w:eastAsia="zh-CN"/>
              </w:rPr>
              <w:t>计量器具台账至少包含采购台账、检定台账、出入库台账、安装台账、轮换台账、报废台账。</w:t>
            </w:r>
          </w:p>
        </w:tc>
        <w:tc>
          <w:tcPr>
            <w:tcW w:w="3586" w:type="dxa"/>
          </w:tcPr>
          <w:p>
            <w:pPr>
              <w:pStyle w:val="8"/>
              <w:keepNext w:val="0"/>
              <w:keepLines w:val="0"/>
              <w:pageBreakBefore w:val="0"/>
              <w:widowControl w:val="0"/>
              <w:numPr>
                <w:ilvl w:val="0"/>
                <w:numId w:val="5"/>
              </w:numPr>
              <w:tabs>
                <w:tab w:val="left" w:pos="291"/>
                <w:tab w:val="clear" w:pos="312"/>
              </w:tabs>
              <w:kinsoku/>
              <w:wordWrap/>
              <w:overflowPunct/>
              <w:topLinePunct w:val="0"/>
              <w:autoSpaceDE w:val="0"/>
              <w:autoSpaceDN w:val="0"/>
              <w:bidi w:val="0"/>
              <w:adjustRightInd/>
              <w:snapToGrid/>
              <w:spacing w:before="22" w:after="0" w:line="380" w:lineRule="exact"/>
              <w:ind w:left="108" w:leftChars="0" w:right="223" w:rightChars="0"/>
              <w:jc w:val="left"/>
              <w:textAlignment w:val="auto"/>
              <w:rPr>
                <w:spacing w:val="-2"/>
                <w:sz w:val="18"/>
                <w:highlight w:val="none"/>
              </w:rPr>
            </w:pPr>
            <w:r>
              <w:rPr>
                <w:spacing w:val="-2"/>
                <w:sz w:val="18"/>
                <w:highlight w:val="none"/>
              </w:rPr>
              <w:t>是否</w:t>
            </w:r>
            <w:r>
              <w:rPr>
                <w:rFonts w:hint="eastAsia"/>
                <w:spacing w:val="-2"/>
                <w:sz w:val="18"/>
                <w:highlight w:val="none"/>
                <w:lang w:eastAsia="zh-CN"/>
              </w:rPr>
              <w:t>保留了计量器具型式批准证书复印件、采购合同等相关资料备查。</w:t>
            </w:r>
            <w:r>
              <w:rPr>
                <w:spacing w:val="-2"/>
                <w:sz w:val="18"/>
                <w:highlight w:val="none"/>
              </w:rPr>
              <w:t>（</w:t>
            </w:r>
            <w:r>
              <w:rPr>
                <w:rFonts w:hint="eastAsia"/>
                <w:spacing w:val="-2"/>
                <w:sz w:val="18"/>
                <w:highlight w:val="none"/>
                <w:lang w:val="en-US" w:eastAsia="zh-CN"/>
              </w:rPr>
              <w:t>5</w:t>
            </w:r>
            <w:r>
              <w:rPr>
                <w:spacing w:val="-2"/>
                <w:sz w:val="18"/>
                <w:highlight w:val="none"/>
              </w:rPr>
              <w:t>分）</w:t>
            </w:r>
          </w:p>
          <w:p>
            <w:pPr>
              <w:pStyle w:val="8"/>
              <w:keepNext w:val="0"/>
              <w:keepLines w:val="0"/>
              <w:pageBreakBefore w:val="0"/>
              <w:widowControl w:val="0"/>
              <w:numPr>
                <w:ilvl w:val="0"/>
                <w:numId w:val="5"/>
              </w:numPr>
              <w:tabs>
                <w:tab w:val="left" w:pos="291"/>
                <w:tab w:val="clear" w:pos="312"/>
              </w:tabs>
              <w:kinsoku/>
              <w:wordWrap/>
              <w:overflowPunct/>
              <w:topLinePunct w:val="0"/>
              <w:autoSpaceDE w:val="0"/>
              <w:autoSpaceDN w:val="0"/>
              <w:bidi w:val="0"/>
              <w:adjustRightInd/>
              <w:snapToGrid/>
              <w:spacing w:before="22" w:after="0" w:line="380" w:lineRule="exact"/>
              <w:ind w:left="108" w:leftChars="0" w:right="223" w:rightChars="0"/>
              <w:jc w:val="left"/>
              <w:textAlignment w:val="auto"/>
              <w:rPr>
                <w:spacing w:val="-2"/>
                <w:sz w:val="18"/>
                <w:highlight w:val="none"/>
              </w:rPr>
            </w:pPr>
            <w:r>
              <w:rPr>
                <w:rFonts w:hint="eastAsia"/>
                <w:spacing w:val="-2"/>
                <w:sz w:val="18"/>
                <w:highlight w:val="none"/>
                <w:lang w:eastAsia="zh-CN"/>
              </w:rPr>
              <w:t>是否建立各项计量器具管理台账（</w:t>
            </w:r>
            <w:r>
              <w:rPr>
                <w:rFonts w:hint="eastAsia"/>
                <w:spacing w:val="-2"/>
                <w:sz w:val="18"/>
                <w:highlight w:val="none"/>
                <w:lang w:val="en-US" w:eastAsia="zh-CN"/>
              </w:rPr>
              <w:t>10分</w:t>
            </w:r>
            <w:r>
              <w:rPr>
                <w:rFonts w:hint="eastAsia"/>
                <w:spacing w:val="-2"/>
                <w:sz w:val="18"/>
                <w:highlight w:val="none"/>
                <w:lang w:eastAsia="zh-CN"/>
              </w:rPr>
              <w:t>）</w:t>
            </w:r>
          </w:p>
          <w:p>
            <w:pPr>
              <w:pStyle w:val="8"/>
              <w:keepNext w:val="0"/>
              <w:keepLines w:val="0"/>
              <w:pageBreakBefore w:val="0"/>
              <w:widowControl w:val="0"/>
              <w:numPr>
                <w:ilvl w:val="0"/>
                <w:numId w:val="0"/>
              </w:numPr>
              <w:tabs>
                <w:tab w:val="left" w:pos="291"/>
              </w:tabs>
              <w:kinsoku/>
              <w:wordWrap/>
              <w:overflowPunct/>
              <w:topLinePunct w:val="0"/>
              <w:autoSpaceDE w:val="0"/>
              <w:autoSpaceDN w:val="0"/>
              <w:bidi w:val="0"/>
              <w:adjustRightInd/>
              <w:snapToGrid/>
              <w:spacing w:before="22" w:after="0" w:line="380" w:lineRule="exact"/>
              <w:ind w:left="108" w:leftChars="0" w:right="223" w:rightChars="0"/>
              <w:jc w:val="left"/>
              <w:textAlignment w:val="auto"/>
              <w:rPr>
                <w:spacing w:val="-2"/>
                <w:sz w:val="18"/>
                <w:highlight w:val="none"/>
              </w:rPr>
            </w:pPr>
            <w:r>
              <w:rPr>
                <w:rFonts w:hint="eastAsia"/>
                <w:spacing w:val="-2"/>
                <w:sz w:val="18"/>
                <w:highlight w:val="none"/>
                <w:lang w:val="en-US" w:eastAsia="zh-CN"/>
              </w:rPr>
              <w:t>3.</w:t>
            </w:r>
            <w:r>
              <w:rPr>
                <w:rFonts w:hint="eastAsia"/>
                <w:spacing w:val="-2"/>
                <w:sz w:val="18"/>
                <w:highlight w:val="none"/>
                <w:lang w:eastAsia="zh-CN"/>
              </w:rPr>
              <w:t>各项台账内容是否符合《城镇供水供电供气公用企业计量行为合规指南》的有关要求</w:t>
            </w:r>
            <w:r>
              <w:rPr>
                <w:spacing w:val="-2"/>
                <w:sz w:val="18"/>
                <w:highlight w:val="none"/>
              </w:rPr>
              <w:t>。（</w:t>
            </w:r>
            <w:r>
              <w:rPr>
                <w:rFonts w:hint="eastAsia"/>
                <w:spacing w:val="-2"/>
                <w:sz w:val="18"/>
                <w:highlight w:val="none"/>
                <w:lang w:val="en-US" w:eastAsia="zh-CN"/>
              </w:rPr>
              <w:t>5</w:t>
            </w:r>
            <w:r>
              <w:rPr>
                <w:spacing w:val="-2"/>
                <w:sz w:val="18"/>
                <w:highlight w:val="none"/>
              </w:rPr>
              <w:t>分）</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80" w:lineRule="exact"/>
              <w:ind w:left="10"/>
              <w:jc w:val="center"/>
              <w:textAlignment w:val="auto"/>
              <w:rPr>
                <w:rFonts w:hint="eastAsia" w:ascii="Calibri" w:eastAsia="宋体"/>
                <w:sz w:val="18"/>
                <w:lang w:val="en-US" w:eastAsia="zh-CN"/>
              </w:rPr>
            </w:pPr>
            <w:r>
              <w:rPr>
                <w:rFonts w:hint="eastAsia" w:ascii="Calibri"/>
                <w:sz w:val="18"/>
                <w:lang w:val="en-US" w:eastAsia="zh-CN"/>
              </w:rPr>
              <w:t>4</w:t>
            </w:r>
          </w:p>
        </w:tc>
        <w:tc>
          <w:tcPr>
            <w:tcW w:w="1268" w:type="dxa"/>
            <w:vMerge w:val="continue"/>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sz w:val="18"/>
                <w:lang w:val="en-US" w:eastAsia="zh-CN"/>
              </w:rPr>
            </w:pP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sz w:val="18"/>
              </w:rPr>
            </w:pPr>
            <w:r>
              <w:rPr>
                <w:rFonts w:hint="eastAsia" w:ascii="Calibri" w:eastAsia="宋体"/>
                <w:sz w:val="18"/>
                <w:lang w:val="en-US" w:eastAsia="zh-CN"/>
              </w:rPr>
              <w:t>2</w:t>
            </w:r>
            <w:r>
              <w:rPr>
                <w:rFonts w:ascii="Calibri" w:eastAsia="Calibri"/>
                <w:sz w:val="18"/>
              </w:rPr>
              <w:t>.</w:t>
            </w:r>
            <w:r>
              <w:rPr>
                <w:rFonts w:hint="eastAsia" w:ascii="Calibri" w:eastAsia="宋体"/>
                <w:sz w:val="18"/>
                <w:lang w:val="en-US" w:eastAsia="zh-CN"/>
              </w:rPr>
              <w:t>3</w:t>
            </w:r>
            <w:r>
              <w:rPr>
                <w:rFonts w:ascii="Calibri" w:eastAsia="Calibri"/>
                <w:spacing w:val="17"/>
                <w:sz w:val="18"/>
              </w:rPr>
              <w:t xml:space="preserve"> </w:t>
            </w:r>
            <w:r>
              <w:rPr>
                <w:sz w:val="18"/>
              </w:rPr>
              <w:t>计量溯源性（</w:t>
            </w:r>
            <w:r>
              <w:rPr>
                <w:rFonts w:hint="eastAsia" w:ascii="Calibri" w:eastAsia="宋体"/>
                <w:sz w:val="18"/>
                <w:lang w:val="en-US" w:eastAsia="zh-CN"/>
              </w:rPr>
              <w:t>20</w:t>
            </w:r>
            <w:r>
              <w:rPr>
                <w:rFonts w:ascii="Calibri" w:eastAsia="Calibri"/>
                <w:sz w:val="18"/>
              </w:rPr>
              <w:t xml:space="preserve"> </w:t>
            </w:r>
            <w:r>
              <w:rPr>
                <w:sz w:val="18"/>
              </w:rPr>
              <w:t>分）</w:t>
            </w:r>
          </w:p>
        </w:tc>
        <w:tc>
          <w:tcPr>
            <w:tcW w:w="5386" w:type="dxa"/>
          </w:tcPr>
          <w:p>
            <w:pPr>
              <w:pStyle w:val="8"/>
              <w:keepNext w:val="0"/>
              <w:keepLines w:val="0"/>
              <w:pageBreakBefore w:val="0"/>
              <w:widowControl w:val="0"/>
              <w:kinsoku/>
              <w:wordWrap/>
              <w:overflowPunct/>
              <w:topLinePunct w:val="0"/>
              <w:autoSpaceDE w:val="0"/>
              <w:autoSpaceDN w:val="0"/>
              <w:bidi w:val="0"/>
              <w:adjustRightInd/>
              <w:snapToGrid/>
              <w:spacing w:before="11" w:line="300" w:lineRule="exact"/>
              <w:ind w:left="108" w:right="176"/>
              <w:textAlignment w:val="auto"/>
              <w:rPr>
                <w:rFonts w:hint="eastAsia"/>
                <w:spacing w:val="3"/>
                <w:sz w:val="18"/>
                <w:highlight w:val="none"/>
                <w:lang w:eastAsia="zh-CN"/>
              </w:rPr>
            </w:pPr>
            <w:r>
              <w:rPr>
                <w:rFonts w:hint="eastAsia"/>
                <w:spacing w:val="3"/>
                <w:sz w:val="18"/>
                <w:highlight w:val="none"/>
                <w:lang w:val="en-US" w:eastAsia="zh-CN"/>
              </w:rPr>
              <w:t>1.</w:t>
            </w:r>
            <w:r>
              <w:rPr>
                <w:rFonts w:hint="eastAsia"/>
                <w:spacing w:val="3"/>
                <w:sz w:val="18"/>
                <w:highlight w:val="none"/>
                <w:lang w:eastAsia="zh-CN"/>
              </w:rPr>
              <w:t>居民水电气表应当在安装使用前等登记造册和申请强制检定，经检定合格的计量器具方可安装使用。</w:t>
            </w:r>
          </w:p>
          <w:p>
            <w:pPr>
              <w:pStyle w:val="8"/>
              <w:keepNext w:val="0"/>
              <w:keepLines w:val="0"/>
              <w:pageBreakBefore w:val="0"/>
              <w:widowControl w:val="0"/>
              <w:kinsoku/>
              <w:wordWrap/>
              <w:overflowPunct/>
              <w:topLinePunct w:val="0"/>
              <w:autoSpaceDE w:val="0"/>
              <w:autoSpaceDN w:val="0"/>
              <w:bidi w:val="0"/>
              <w:adjustRightInd/>
              <w:snapToGrid/>
              <w:spacing w:before="11" w:line="300" w:lineRule="exact"/>
              <w:ind w:left="108" w:right="176"/>
              <w:textAlignment w:val="auto"/>
              <w:rPr>
                <w:sz w:val="18"/>
                <w:highlight w:val="none"/>
              </w:rPr>
            </w:pPr>
            <w:r>
              <w:rPr>
                <w:rFonts w:hint="eastAsia"/>
                <w:spacing w:val="3"/>
                <w:sz w:val="18"/>
                <w:highlight w:val="none"/>
                <w:lang w:val="en-US" w:eastAsia="zh-CN"/>
              </w:rPr>
              <w:t>2.</w:t>
            </w:r>
            <w:r>
              <w:rPr>
                <w:rFonts w:hint="eastAsia"/>
                <w:spacing w:val="3"/>
                <w:sz w:val="18"/>
                <w:highlight w:val="none"/>
                <w:lang w:eastAsia="zh-CN"/>
              </w:rPr>
              <w:t>首次检定应由取得计量标准考核证书并经计量主管部门授权的计量检定机构实施计量检定，</w:t>
            </w:r>
            <w:r>
              <w:rPr>
                <w:sz w:val="18"/>
                <w:highlight w:val="none"/>
              </w:rPr>
              <w:t>应具有有效的</w:t>
            </w:r>
            <w:r>
              <w:rPr>
                <w:rFonts w:hint="eastAsia"/>
                <w:sz w:val="18"/>
                <w:highlight w:val="none"/>
                <w:lang w:eastAsia="zh-CN"/>
              </w:rPr>
              <w:t>检定</w:t>
            </w:r>
            <w:r>
              <w:rPr>
                <w:sz w:val="18"/>
                <w:highlight w:val="none"/>
              </w:rPr>
              <w:t>证书。</w:t>
            </w:r>
          </w:p>
          <w:p>
            <w:pPr>
              <w:pStyle w:val="8"/>
              <w:keepNext w:val="0"/>
              <w:keepLines w:val="0"/>
              <w:pageBreakBefore w:val="0"/>
              <w:widowControl w:val="0"/>
              <w:kinsoku/>
              <w:wordWrap/>
              <w:overflowPunct/>
              <w:topLinePunct w:val="0"/>
              <w:autoSpaceDE w:val="0"/>
              <w:autoSpaceDN w:val="0"/>
              <w:bidi w:val="0"/>
              <w:adjustRightInd/>
              <w:snapToGrid/>
              <w:spacing w:before="11" w:line="300" w:lineRule="exact"/>
              <w:ind w:left="108" w:right="176"/>
              <w:textAlignment w:val="auto"/>
              <w:rPr>
                <w:spacing w:val="-2"/>
                <w:sz w:val="18"/>
                <w:highlight w:val="none"/>
              </w:rPr>
            </w:pPr>
            <w:r>
              <w:rPr>
                <w:rFonts w:hint="eastAsia"/>
                <w:sz w:val="18"/>
                <w:highlight w:val="none"/>
                <w:lang w:val="en-US" w:eastAsia="zh-CN"/>
              </w:rPr>
              <w:t>3.公用企业应根据国家规定的计量器具使用期限，提前制定和公布轮换计划，制定轮换工作方案并定期评估轮换效果。</w:t>
            </w:r>
          </w:p>
        </w:tc>
        <w:tc>
          <w:tcPr>
            <w:tcW w:w="3586" w:type="dxa"/>
          </w:tcPr>
          <w:p>
            <w:pPr>
              <w:pStyle w:val="8"/>
              <w:keepNext w:val="0"/>
              <w:keepLines w:val="0"/>
              <w:pageBreakBefore w:val="0"/>
              <w:widowControl w:val="0"/>
              <w:kinsoku/>
              <w:wordWrap/>
              <w:overflowPunct/>
              <w:topLinePunct w:val="0"/>
              <w:autoSpaceDE w:val="0"/>
              <w:autoSpaceDN w:val="0"/>
              <w:bidi w:val="0"/>
              <w:adjustRightInd/>
              <w:snapToGrid/>
              <w:spacing w:before="12" w:line="380" w:lineRule="exact"/>
              <w:ind w:left="107"/>
              <w:textAlignment w:val="auto"/>
              <w:rPr>
                <w:sz w:val="18"/>
                <w:highlight w:val="none"/>
              </w:rPr>
            </w:pPr>
            <w:r>
              <w:rPr>
                <w:spacing w:val="-4"/>
                <w:sz w:val="18"/>
                <w:highlight w:val="none"/>
              </w:rPr>
              <w:t>1.</w:t>
            </w:r>
            <w:r>
              <w:rPr>
                <w:spacing w:val="-5"/>
                <w:sz w:val="18"/>
                <w:highlight w:val="none"/>
              </w:rPr>
              <w:t>检定证书是否齐全、连续、有效。</w:t>
            </w:r>
          </w:p>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7"/>
              <w:textAlignment w:val="auto"/>
              <w:rPr>
                <w:spacing w:val="-10"/>
                <w:sz w:val="18"/>
                <w:highlight w:val="none"/>
              </w:rPr>
            </w:pPr>
            <w:r>
              <w:rPr>
                <w:sz w:val="18"/>
                <w:highlight w:val="none"/>
              </w:rPr>
              <w:t>（</w:t>
            </w:r>
            <w:r>
              <w:rPr>
                <w:rFonts w:hint="eastAsia"/>
                <w:sz w:val="18"/>
                <w:highlight w:val="none"/>
                <w:lang w:val="en-US" w:eastAsia="zh-CN"/>
              </w:rPr>
              <w:t>10</w:t>
            </w:r>
            <w:r>
              <w:rPr>
                <w:spacing w:val="-22"/>
                <w:sz w:val="18"/>
                <w:highlight w:val="none"/>
              </w:rPr>
              <w:t>分</w:t>
            </w:r>
            <w:r>
              <w:rPr>
                <w:spacing w:val="-10"/>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8"/>
              <w:textAlignment w:val="auto"/>
              <w:rPr>
                <w:spacing w:val="-46"/>
                <w:sz w:val="18"/>
                <w:highlight w:val="none"/>
              </w:rPr>
            </w:pPr>
            <w:r>
              <w:rPr>
                <w:spacing w:val="-2"/>
                <w:sz w:val="18"/>
                <w:highlight w:val="none"/>
              </w:rPr>
              <w:t>2.是否有</w:t>
            </w:r>
            <w:r>
              <w:rPr>
                <w:rFonts w:hint="eastAsia"/>
                <w:spacing w:val="-2"/>
                <w:sz w:val="18"/>
                <w:highlight w:val="none"/>
                <w:lang w:eastAsia="zh-CN"/>
              </w:rPr>
              <w:t>轮换计划和轮换效果评估</w:t>
            </w:r>
            <w:r>
              <w:rPr>
                <w:sz w:val="18"/>
                <w:highlight w:val="none"/>
              </w:rPr>
              <w:t>。（</w:t>
            </w:r>
            <w:r>
              <w:rPr>
                <w:rFonts w:hint="eastAsia"/>
                <w:sz w:val="18"/>
                <w:highlight w:val="none"/>
                <w:lang w:val="en-US" w:eastAsia="zh-CN"/>
              </w:rPr>
              <w:t>10</w:t>
            </w:r>
            <w:r>
              <w:rPr>
                <w:spacing w:val="-20"/>
                <w:sz w:val="18"/>
                <w:highlight w:val="none"/>
              </w:rPr>
              <w:t>分</w:t>
            </w:r>
            <w:r>
              <w:rPr>
                <w:sz w:val="18"/>
                <w:highlight w:val="none"/>
              </w:rPr>
              <w:t>）</w:t>
            </w: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562"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184" w:leftChars="0" w:right="174" w:rightChars="0"/>
              <w:jc w:val="center"/>
              <w:textAlignment w:val="auto"/>
              <w:rPr>
                <w:rFonts w:hint="eastAsia" w:ascii="Calibri"/>
                <w:sz w:val="18"/>
                <w:lang w:val="en-US" w:eastAsia="zh-CN"/>
              </w:rPr>
            </w:pPr>
            <w:r>
              <w:rPr>
                <w:rFonts w:ascii="宋体" w:hAnsi="宋体" w:eastAsia="宋体" w:cs="宋体"/>
                <w:spacing w:val="-3"/>
                <w:sz w:val="18"/>
                <w:szCs w:val="22"/>
                <w:lang w:val="en-US" w:eastAsia="zh-CN" w:bidi="ar-SA"/>
              </w:rPr>
              <w:t>序号</w:t>
            </w:r>
          </w:p>
        </w:tc>
        <w:tc>
          <w:tcPr>
            <w:tcW w:w="1268"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324" w:leftChars="0" w:right="0" w:rightChars="0"/>
              <w:textAlignment w:val="auto"/>
              <w:rPr>
                <w:rFonts w:hint="eastAsia"/>
                <w:sz w:val="18"/>
                <w:lang w:val="en-US" w:eastAsia="zh-CN"/>
              </w:rPr>
            </w:pPr>
            <w:r>
              <w:rPr>
                <w:rFonts w:hint="eastAsia" w:cs="宋体"/>
                <w:spacing w:val="-3"/>
                <w:sz w:val="18"/>
                <w:szCs w:val="22"/>
                <w:lang w:val="en-US" w:eastAsia="zh-CN" w:bidi="ar-SA"/>
              </w:rPr>
              <w:t>标准项目</w:t>
            </w:r>
          </w:p>
        </w:tc>
        <w:tc>
          <w:tcPr>
            <w:tcW w:w="1610"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324" w:leftChars="0" w:right="0" w:rightChars="0"/>
              <w:textAlignment w:val="auto"/>
              <w:rPr>
                <w:rFonts w:hint="eastAsia" w:ascii="Calibri" w:eastAsia="宋体"/>
                <w:sz w:val="18"/>
                <w:lang w:val="en-US" w:eastAsia="zh-CN"/>
              </w:rPr>
            </w:pPr>
            <w:r>
              <w:rPr>
                <w:rFonts w:ascii="宋体" w:hAnsi="宋体" w:eastAsia="宋体" w:cs="宋体"/>
                <w:spacing w:val="-3"/>
                <w:sz w:val="18"/>
                <w:szCs w:val="22"/>
                <w:lang w:val="en-US" w:eastAsia="zh-CN" w:bidi="ar-SA"/>
              </w:rPr>
              <w:t>标准条款</w:t>
            </w:r>
          </w:p>
        </w:tc>
        <w:tc>
          <w:tcPr>
            <w:tcW w:w="5386"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2066" w:leftChars="0" w:right="2058" w:rightChars="0"/>
              <w:jc w:val="center"/>
              <w:textAlignment w:val="auto"/>
              <w:rPr>
                <w:rFonts w:hint="eastAsia"/>
                <w:sz w:val="18"/>
                <w:highlight w:val="none"/>
                <w:lang w:val="en-US" w:eastAsia="zh-CN"/>
              </w:rPr>
            </w:pPr>
            <w:r>
              <w:rPr>
                <w:rFonts w:ascii="宋体" w:hAnsi="宋体" w:eastAsia="宋体" w:cs="宋体"/>
                <w:spacing w:val="-3"/>
                <w:sz w:val="18"/>
                <w:szCs w:val="22"/>
                <w:lang w:val="en-US" w:eastAsia="zh-CN" w:bidi="ar-SA"/>
              </w:rPr>
              <w:t>诚信计量要求</w:t>
            </w:r>
          </w:p>
        </w:tc>
        <w:tc>
          <w:tcPr>
            <w:tcW w:w="3586"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1326" w:leftChars="0" w:right="1317" w:rightChars="0"/>
              <w:jc w:val="center"/>
              <w:textAlignment w:val="auto"/>
              <w:rPr>
                <w:spacing w:val="-2"/>
                <w:sz w:val="18"/>
                <w:highlight w:val="none"/>
              </w:rPr>
            </w:pPr>
            <w:r>
              <w:rPr>
                <w:rFonts w:ascii="宋体" w:hAnsi="宋体" w:eastAsia="宋体" w:cs="宋体"/>
                <w:spacing w:val="-3"/>
                <w:sz w:val="18"/>
                <w:szCs w:val="22"/>
                <w:lang w:val="en-US" w:eastAsia="zh-CN" w:bidi="ar-SA"/>
              </w:rPr>
              <w:t>评价方法</w:t>
            </w:r>
          </w:p>
        </w:tc>
        <w:tc>
          <w:tcPr>
            <w:tcW w:w="1228"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294" w:leftChars="0" w:right="0" w:rightChars="0"/>
              <w:textAlignment w:val="auto"/>
              <w:rPr>
                <w:rFonts w:ascii="Times New Roman"/>
                <w:sz w:val="18"/>
              </w:rPr>
            </w:pPr>
            <w:r>
              <w:rPr>
                <w:rFonts w:hint="eastAsia" w:ascii="宋体" w:hAnsi="宋体" w:eastAsia="宋体" w:cs="宋体"/>
                <w:spacing w:val="-3"/>
                <w:sz w:val="18"/>
                <w:szCs w:val="22"/>
                <w:lang w:val="en-US" w:eastAsia="zh-CN" w:bidi="ar-SA"/>
              </w:rPr>
              <w:t>评价记录</w:t>
            </w:r>
          </w:p>
        </w:tc>
        <w:tc>
          <w:tcPr>
            <w:tcW w:w="699" w:type="dxa"/>
            <w:vAlign w:val="top"/>
          </w:tcPr>
          <w:p>
            <w:pPr>
              <w:pStyle w:val="8"/>
              <w:keepNext w:val="0"/>
              <w:keepLines w:val="0"/>
              <w:pageBreakBefore w:val="0"/>
              <w:widowControl w:val="0"/>
              <w:kinsoku/>
              <w:wordWrap/>
              <w:overflowPunct/>
              <w:topLinePunct w:val="0"/>
              <w:autoSpaceDE w:val="0"/>
              <w:autoSpaceDN w:val="0"/>
              <w:bidi w:val="0"/>
              <w:adjustRightInd/>
              <w:snapToGrid/>
              <w:spacing w:before="81" w:line="380" w:lineRule="exact"/>
              <w:ind w:left="294" w:leftChars="0" w:right="0" w:rightChars="0"/>
              <w:textAlignment w:val="auto"/>
              <w:rPr>
                <w:rFonts w:ascii="Times New Roman"/>
                <w:sz w:val="18"/>
              </w:rPr>
            </w:pPr>
            <w:r>
              <w:rPr>
                <w:rFonts w:ascii="宋体" w:hAnsi="宋体" w:eastAsia="宋体" w:cs="宋体"/>
                <w:spacing w:val="-3"/>
                <w:sz w:val="18"/>
                <w:szCs w:val="22"/>
                <w:lang w:val="en-US" w:eastAsia="zh-CN" w:bidi="ar-SA"/>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80" w:lineRule="exact"/>
              <w:ind w:left="10"/>
              <w:jc w:val="center"/>
              <w:textAlignment w:val="auto"/>
              <w:rPr>
                <w:rFonts w:hint="eastAsia" w:ascii="Calibri" w:eastAsia="宋体"/>
                <w:sz w:val="18"/>
                <w:lang w:val="en-US" w:eastAsia="zh-CN"/>
              </w:rPr>
            </w:pPr>
            <w:r>
              <w:rPr>
                <w:rFonts w:hint="eastAsia" w:ascii="Calibri"/>
                <w:sz w:val="18"/>
                <w:lang w:val="en-US" w:eastAsia="zh-CN"/>
              </w:rPr>
              <w:t>6</w:t>
            </w:r>
          </w:p>
        </w:tc>
        <w:tc>
          <w:tcPr>
            <w:tcW w:w="1268" w:type="dxa"/>
            <w:vMerge w:val="restart"/>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eastAsia="宋体"/>
                <w:sz w:val="18"/>
                <w:lang w:val="en-US" w:eastAsia="zh-CN"/>
              </w:rPr>
            </w:pPr>
            <w:r>
              <w:rPr>
                <w:rFonts w:hint="eastAsia" w:ascii="黑体" w:hAnsi="黑体" w:eastAsia="黑体" w:cs="黑体"/>
                <w:b/>
                <w:bCs/>
                <w:spacing w:val="-2"/>
                <w:sz w:val="18"/>
                <w:szCs w:val="18"/>
                <w:lang w:val="en-US" w:eastAsia="zh-CN"/>
              </w:rPr>
              <w:t>3</w:t>
            </w:r>
            <w:r>
              <w:rPr>
                <w:spacing w:val="-2"/>
                <w:sz w:val="18"/>
                <w:szCs w:val="18"/>
              </w:rPr>
              <w:t>管理要求</w:t>
            </w:r>
            <w:r>
              <w:rPr>
                <w:rFonts w:hint="eastAsia"/>
                <w:spacing w:val="-2"/>
                <w:sz w:val="18"/>
                <w:szCs w:val="18"/>
                <w:lang w:val="en-US" w:eastAsia="zh-CN"/>
              </w:rPr>
              <w:t>(</w:t>
            </w:r>
            <w:r>
              <w:rPr>
                <w:spacing w:val="-19"/>
                <w:sz w:val="18"/>
                <w:szCs w:val="18"/>
              </w:rPr>
              <w:t>总分</w:t>
            </w:r>
            <w:r>
              <w:rPr>
                <w:rFonts w:hint="eastAsia"/>
                <w:spacing w:val="-19"/>
                <w:sz w:val="18"/>
                <w:szCs w:val="18"/>
                <w:lang w:val="en-US" w:eastAsia="zh-CN"/>
              </w:rPr>
              <w:t>30</w:t>
            </w:r>
            <w:r>
              <w:rPr>
                <w:spacing w:val="-2"/>
                <w:sz w:val="18"/>
                <w:szCs w:val="18"/>
              </w:rPr>
              <w:t>分</w:t>
            </w:r>
            <w:r>
              <w:rPr>
                <w:rFonts w:hint="eastAsia"/>
                <w:spacing w:val="-2"/>
                <w:sz w:val="18"/>
                <w:szCs w:val="18"/>
                <w:lang w:eastAsia="zh-CN"/>
              </w:rPr>
              <w:t>）</w:t>
            </w: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sz w:val="18"/>
                <w:highlight w:val="none"/>
              </w:rPr>
            </w:pPr>
            <w:r>
              <w:rPr>
                <w:rFonts w:hint="eastAsia" w:ascii="Calibri" w:eastAsia="宋体"/>
                <w:sz w:val="18"/>
                <w:highlight w:val="none"/>
                <w:lang w:val="en-US" w:eastAsia="zh-CN"/>
              </w:rPr>
              <w:t>3</w:t>
            </w:r>
            <w:r>
              <w:rPr>
                <w:rFonts w:ascii="Calibri" w:eastAsia="Calibri"/>
                <w:sz w:val="18"/>
                <w:highlight w:val="none"/>
              </w:rPr>
              <w:t>.</w:t>
            </w:r>
            <w:r>
              <w:rPr>
                <w:rFonts w:hint="eastAsia" w:ascii="Calibri" w:eastAsia="宋体"/>
                <w:sz w:val="18"/>
                <w:highlight w:val="none"/>
                <w:lang w:val="en-US" w:eastAsia="zh-CN"/>
              </w:rPr>
              <w:t>1</w:t>
            </w:r>
            <w:r>
              <w:rPr>
                <w:rFonts w:ascii="Calibri" w:eastAsia="Calibri"/>
                <w:spacing w:val="17"/>
                <w:sz w:val="18"/>
                <w:highlight w:val="none"/>
              </w:rPr>
              <w:t xml:space="preserve"> </w:t>
            </w:r>
            <w:r>
              <w:rPr>
                <w:sz w:val="18"/>
                <w:highlight w:val="none"/>
              </w:rPr>
              <w:t>管理体系文件（</w:t>
            </w:r>
            <w:r>
              <w:rPr>
                <w:rFonts w:hint="eastAsia" w:ascii="Calibri"/>
                <w:sz w:val="18"/>
                <w:highlight w:val="none"/>
                <w:lang w:val="en-US" w:eastAsia="zh-CN"/>
              </w:rPr>
              <w:t>15</w:t>
            </w:r>
            <w:r>
              <w:rPr>
                <w:sz w:val="18"/>
                <w:highlight w:val="none"/>
              </w:rPr>
              <w:t>分</w:t>
            </w:r>
            <w:r>
              <w:rPr>
                <w:spacing w:val="-10"/>
                <w:sz w:val="18"/>
                <w:highlight w:val="none"/>
              </w:rPr>
              <w:t>）</w:t>
            </w:r>
          </w:p>
        </w:tc>
        <w:tc>
          <w:tcPr>
            <w:tcW w:w="5386" w:type="dxa"/>
          </w:tcPr>
          <w:p>
            <w:pPr>
              <w:pStyle w:val="8"/>
              <w:keepNext w:val="0"/>
              <w:keepLines w:val="0"/>
              <w:pageBreakBefore w:val="0"/>
              <w:widowControl w:val="0"/>
              <w:kinsoku/>
              <w:wordWrap/>
              <w:overflowPunct/>
              <w:topLinePunct w:val="0"/>
              <w:autoSpaceDE w:val="0"/>
              <w:autoSpaceDN w:val="0"/>
              <w:bidi w:val="0"/>
              <w:adjustRightInd/>
              <w:snapToGrid/>
              <w:spacing w:before="11" w:line="380" w:lineRule="exact"/>
              <w:ind w:right="94"/>
              <w:jc w:val="both"/>
              <w:textAlignment w:val="auto"/>
              <w:rPr>
                <w:rFonts w:hint="eastAsia"/>
                <w:spacing w:val="-2"/>
                <w:sz w:val="18"/>
                <w:highlight w:val="none"/>
                <w:lang w:eastAsia="zh-CN"/>
              </w:rPr>
            </w:pPr>
            <w:r>
              <w:rPr>
                <w:rFonts w:hint="eastAsia"/>
                <w:spacing w:val="-2"/>
                <w:sz w:val="18"/>
                <w:highlight w:val="none"/>
                <w:lang w:val="en-US" w:eastAsia="zh-CN"/>
              </w:rPr>
              <w:t>1.</w:t>
            </w:r>
            <w:r>
              <w:rPr>
                <w:rFonts w:hint="eastAsia"/>
                <w:spacing w:val="-2"/>
                <w:sz w:val="18"/>
                <w:highlight w:val="none"/>
                <w:lang w:eastAsia="zh-CN"/>
              </w:rPr>
              <w:t>公用企业是否建立计量投诉处理机制，是否主动公开投诉方式、渠道等。</w:t>
            </w:r>
          </w:p>
          <w:p>
            <w:pPr>
              <w:pStyle w:val="8"/>
              <w:keepNext w:val="0"/>
              <w:keepLines w:val="0"/>
              <w:pageBreakBefore w:val="0"/>
              <w:widowControl w:val="0"/>
              <w:kinsoku/>
              <w:wordWrap/>
              <w:overflowPunct/>
              <w:topLinePunct w:val="0"/>
              <w:autoSpaceDE w:val="0"/>
              <w:autoSpaceDN w:val="0"/>
              <w:bidi w:val="0"/>
              <w:adjustRightInd/>
              <w:snapToGrid/>
              <w:spacing w:before="11" w:line="380" w:lineRule="exact"/>
              <w:ind w:right="94"/>
              <w:jc w:val="both"/>
              <w:textAlignment w:val="auto"/>
              <w:rPr>
                <w:rFonts w:hint="eastAsia"/>
                <w:spacing w:val="-2"/>
                <w:sz w:val="18"/>
                <w:highlight w:val="none"/>
                <w:lang w:val="en-US" w:eastAsia="zh-CN"/>
              </w:rPr>
            </w:pPr>
            <w:r>
              <w:rPr>
                <w:rFonts w:hint="eastAsia"/>
                <w:spacing w:val="-2"/>
                <w:sz w:val="18"/>
                <w:highlight w:val="none"/>
                <w:lang w:val="en-US" w:eastAsia="zh-CN"/>
              </w:rPr>
              <w:t>2.是否及时受理、登记计量投诉信息并妥善快速处理。</w:t>
            </w:r>
          </w:p>
          <w:p>
            <w:pPr>
              <w:pStyle w:val="8"/>
              <w:keepNext w:val="0"/>
              <w:keepLines w:val="0"/>
              <w:pageBreakBefore w:val="0"/>
              <w:widowControl w:val="0"/>
              <w:kinsoku/>
              <w:wordWrap/>
              <w:overflowPunct/>
              <w:topLinePunct w:val="0"/>
              <w:autoSpaceDE w:val="0"/>
              <w:autoSpaceDN w:val="0"/>
              <w:bidi w:val="0"/>
              <w:adjustRightInd/>
              <w:snapToGrid/>
              <w:spacing w:before="11" w:line="380" w:lineRule="exact"/>
              <w:ind w:right="94"/>
              <w:jc w:val="both"/>
              <w:textAlignment w:val="auto"/>
              <w:rPr>
                <w:rFonts w:hint="default" w:eastAsia="宋体"/>
                <w:spacing w:val="-1"/>
                <w:sz w:val="18"/>
                <w:highlight w:val="none"/>
                <w:lang w:val="en-US" w:eastAsia="zh-CN"/>
              </w:rPr>
            </w:pPr>
            <w:r>
              <w:rPr>
                <w:rFonts w:hint="eastAsia"/>
                <w:spacing w:val="-2"/>
                <w:sz w:val="18"/>
                <w:highlight w:val="none"/>
                <w:lang w:val="en-US" w:eastAsia="zh-CN"/>
              </w:rPr>
              <w:t>3.是否配合消费者依法依规申请计量仲裁检定及后续计量调解工作。</w:t>
            </w:r>
          </w:p>
        </w:tc>
        <w:tc>
          <w:tcPr>
            <w:tcW w:w="3586" w:type="dxa"/>
          </w:tcPr>
          <w:p>
            <w:pPr>
              <w:pStyle w:val="8"/>
              <w:keepNext w:val="0"/>
              <w:keepLines w:val="0"/>
              <w:pageBreakBefore w:val="0"/>
              <w:widowControl w:val="0"/>
              <w:numPr>
                <w:ilvl w:val="0"/>
                <w:numId w:val="6"/>
              </w:numPr>
              <w:kinsoku/>
              <w:wordWrap/>
              <w:overflowPunct/>
              <w:topLinePunct w:val="0"/>
              <w:autoSpaceDE w:val="0"/>
              <w:autoSpaceDN w:val="0"/>
              <w:bidi w:val="0"/>
              <w:adjustRightInd/>
              <w:snapToGrid/>
              <w:spacing w:before="9" w:line="380" w:lineRule="exact"/>
              <w:ind w:left="108"/>
              <w:textAlignment w:val="auto"/>
              <w:rPr>
                <w:rFonts w:hint="eastAsia"/>
                <w:spacing w:val="-4"/>
                <w:sz w:val="18"/>
                <w:highlight w:val="none"/>
                <w:lang w:eastAsia="zh-CN"/>
              </w:rPr>
            </w:pPr>
            <w:r>
              <w:rPr>
                <w:spacing w:val="-4"/>
                <w:sz w:val="18"/>
                <w:highlight w:val="none"/>
              </w:rPr>
              <w:t>是否制定了</w:t>
            </w:r>
            <w:r>
              <w:rPr>
                <w:rFonts w:hint="eastAsia"/>
                <w:spacing w:val="-4"/>
                <w:sz w:val="18"/>
                <w:highlight w:val="none"/>
                <w:lang w:eastAsia="zh-CN"/>
              </w:rPr>
              <w:t>处理计量投诉的</w:t>
            </w:r>
            <w:r>
              <w:rPr>
                <w:spacing w:val="-4"/>
                <w:sz w:val="18"/>
                <w:highlight w:val="none"/>
              </w:rPr>
              <w:t>管理手册、程序文件等</w:t>
            </w:r>
            <w:r>
              <w:rPr>
                <w:rFonts w:hint="eastAsia"/>
                <w:spacing w:val="-4"/>
                <w:sz w:val="18"/>
                <w:highlight w:val="none"/>
                <w:lang w:eastAsia="zh-CN"/>
              </w:rPr>
              <w:t>。</w:t>
            </w:r>
            <w:r>
              <w:rPr>
                <w:sz w:val="18"/>
                <w:highlight w:val="none"/>
              </w:rPr>
              <w:t>（5</w:t>
            </w:r>
            <w:r>
              <w:rPr>
                <w:spacing w:val="-20"/>
                <w:sz w:val="18"/>
                <w:highlight w:val="none"/>
              </w:rPr>
              <w:t xml:space="preserve"> 分</w:t>
            </w:r>
            <w:r>
              <w:rPr>
                <w:sz w:val="18"/>
                <w:highlight w:val="none"/>
              </w:rPr>
              <w:t>）</w:t>
            </w:r>
          </w:p>
          <w:p>
            <w:pPr>
              <w:pStyle w:val="8"/>
              <w:keepNext w:val="0"/>
              <w:keepLines w:val="0"/>
              <w:pageBreakBefore w:val="0"/>
              <w:widowControl w:val="0"/>
              <w:numPr>
                <w:ilvl w:val="0"/>
                <w:numId w:val="6"/>
              </w:numPr>
              <w:kinsoku/>
              <w:wordWrap/>
              <w:overflowPunct/>
              <w:topLinePunct w:val="0"/>
              <w:autoSpaceDE w:val="0"/>
              <w:autoSpaceDN w:val="0"/>
              <w:bidi w:val="0"/>
              <w:adjustRightInd/>
              <w:snapToGrid/>
              <w:spacing w:before="9" w:line="380" w:lineRule="exact"/>
              <w:ind w:left="108"/>
              <w:textAlignment w:val="auto"/>
              <w:rPr>
                <w:sz w:val="18"/>
                <w:highlight w:val="none"/>
              </w:rPr>
            </w:pPr>
            <w:r>
              <w:rPr>
                <w:spacing w:val="-4"/>
                <w:sz w:val="18"/>
                <w:highlight w:val="none"/>
              </w:rPr>
              <w:t>是否有</w:t>
            </w:r>
            <w:r>
              <w:rPr>
                <w:rFonts w:hint="eastAsia"/>
                <w:spacing w:val="-4"/>
                <w:sz w:val="18"/>
                <w:highlight w:val="none"/>
                <w:lang w:eastAsia="zh-CN"/>
              </w:rPr>
              <w:t>处置计量投诉的相关记录。</w:t>
            </w:r>
            <w:r>
              <w:rPr>
                <w:sz w:val="18"/>
                <w:highlight w:val="none"/>
              </w:rPr>
              <w:t>（5</w:t>
            </w:r>
            <w:r>
              <w:rPr>
                <w:spacing w:val="-20"/>
                <w:sz w:val="18"/>
                <w:highlight w:val="none"/>
              </w:rPr>
              <w:t xml:space="preserve"> 分</w:t>
            </w:r>
            <w:r>
              <w:rPr>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8"/>
              <w:textAlignment w:val="auto"/>
              <w:rPr>
                <w:sz w:val="18"/>
                <w:highlight w:val="none"/>
              </w:rPr>
            </w:pPr>
            <w:r>
              <w:rPr>
                <w:rFonts w:hint="eastAsia"/>
                <w:spacing w:val="-1"/>
                <w:sz w:val="18"/>
                <w:highlight w:val="none"/>
                <w:lang w:val="en-US" w:eastAsia="zh-CN"/>
              </w:rPr>
              <w:t>3.是否有申请计量仲裁检定和计量调解的记录。</w:t>
            </w:r>
            <w:r>
              <w:rPr>
                <w:sz w:val="18"/>
                <w:highlight w:val="none"/>
              </w:rPr>
              <w:t>（5</w:t>
            </w:r>
            <w:r>
              <w:rPr>
                <w:spacing w:val="-20"/>
                <w:sz w:val="18"/>
                <w:highlight w:val="none"/>
              </w:rPr>
              <w:t xml:space="preserve"> 分</w:t>
            </w:r>
            <w:r>
              <w:rPr>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8"/>
              <w:textAlignment w:val="auto"/>
              <w:rPr>
                <w:rFonts w:hint="default" w:eastAsia="宋体"/>
                <w:sz w:val="18"/>
                <w:highlight w:val="none"/>
                <w:lang w:val="en-US" w:eastAsia="zh-CN"/>
              </w:rPr>
            </w:pP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keepNext w:val="0"/>
              <w:keepLines w:val="0"/>
              <w:pageBreakBefore w:val="0"/>
              <w:widowControl w:val="0"/>
              <w:kinsoku/>
              <w:wordWrap/>
              <w:overflowPunct/>
              <w:topLinePunct w:val="0"/>
              <w:autoSpaceDE w:val="0"/>
              <w:autoSpaceDN w:val="0"/>
              <w:bidi w:val="0"/>
              <w:adjustRightInd/>
              <w:snapToGrid/>
              <w:spacing w:before="147" w:line="380" w:lineRule="exact"/>
              <w:ind w:left="10"/>
              <w:jc w:val="center"/>
              <w:textAlignment w:val="auto"/>
              <w:rPr>
                <w:rFonts w:hint="eastAsia" w:ascii="Calibri"/>
                <w:sz w:val="18"/>
                <w:lang w:val="en-US" w:eastAsia="zh-CN"/>
              </w:rPr>
            </w:pPr>
          </w:p>
        </w:tc>
        <w:tc>
          <w:tcPr>
            <w:tcW w:w="1268" w:type="dxa"/>
            <w:vMerge w:val="continue"/>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ascii="黑体" w:hAnsi="黑体" w:eastAsia="黑体" w:cs="黑体"/>
                <w:b/>
                <w:bCs/>
                <w:spacing w:val="-2"/>
                <w:sz w:val="18"/>
                <w:szCs w:val="18"/>
                <w:lang w:val="en-US" w:eastAsia="zh-CN"/>
              </w:rPr>
            </w:pPr>
          </w:p>
        </w:tc>
        <w:tc>
          <w:tcPr>
            <w:tcW w:w="1610" w:type="dxa"/>
          </w:tcPr>
          <w:p>
            <w:pPr>
              <w:pStyle w:val="8"/>
              <w:keepNext w:val="0"/>
              <w:keepLines w:val="0"/>
              <w:pageBreakBefore w:val="0"/>
              <w:widowControl w:val="0"/>
              <w:kinsoku/>
              <w:wordWrap/>
              <w:overflowPunct/>
              <w:topLinePunct w:val="0"/>
              <w:autoSpaceDE w:val="0"/>
              <w:autoSpaceDN w:val="0"/>
              <w:bidi w:val="0"/>
              <w:adjustRightInd/>
              <w:snapToGrid/>
              <w:spacing w:before="142" w:line="380" w:lineRule="exact"/>
              <w:ind w:left="144" w:right="131" w:firstLine="43"/>
              <w:jc w:val="both"/>
              <w:textAlignment w:val="auto"/>
              <w:rPr>
                <w:rFonts w:hint="eastAsia" w:ascii="Calibri" w:eastAsia="宋体"/>
                <w:sz w:val="18"/>
                <w:highlight w:val="none"/>
                <w:lang w:val="en-US" w:eastAsia="zh-CN"/>
              </w:rPr>
            </w:pPr>
            <w:r>
              <w:rPr>
                <w:rFonts w:hint="eastAsia" w:ascii="Calibri" w:eastAsia="宋体"/>
                <w:sz w:val="18"/>
                <w:highlight w:val="none"/>
                <w:lang w:val="en-US" w:eastAsia="zh-CN"/>
              </w:rPr>
              <w:t>3</w:t>
            </w:r>
            <w:r>
              <w:rPr>
                <w:rFonts w:ascii="Calibri" w:eastAsia="Calibri"/>
                <w:sz w:val="18"/>
                <w:highlight w:val="none"/>
              </w:rPr>
              <w:t>.</w:t>
            </w:r>
            <w:r>
              <w:rPr>
                <w:rFonts w:hint="eastAsia" w:ascii="Calibri"/>
                <w:sz w:val="18"/>
                <w:highlight w:val="none"/>
                <w:lang w:val="en-US" w:eastAsia="zh-CN"/>
              </w:rPr>
              <w:t>2</w:t>
            </w:r>
            <w:r>
              <w:rPr>
                <w:sz w:val="18"/>
                <w:highlight w:val="none"/>
              </w:rPr>
              <w:t>监督和检查（</w:t>
            </w:r>
            <w:r>
              <w:rPr>
                <w:rFonts w:hint="eastAsia" w:ascii="Calibri" w:eastAsia="宋体"/>
                <w:sz w:val="18"/>
                <w:highlight w:val="none"/>
                <w:lang w:val="en-US" w:eastAsia="zh-CN"/>
              </w:rPr>
              <w:t>1</w:t>
            </w:r>
            <w:r>
              <w:rPr>
                <w:rFonts w:hint="eastAsia" w:ascii="Calibri"/>
                <w:sz w:val="18"/>
                <w:highlight w:val="none"/>
                <w:lang w:val="en-US" w:eastAsia="zh-CN"/>
              </w:rPr>
              <w:t>5</w:t>
            </w:r>
            <w:r>
              <w:rPr>
                <w:sz w:val="18"/>
                <w:highlight w:val="none"/>
              </w:rPr>
              <w:t>分）</w:t>
            </w:r>
          </w:p>
        </w:tc>
        <w:tc>
          <w:tcPr>
            <w:tcW w:w="5386" w:type="dxa"/>
            <w:vAlign w:val="top"/>
          </w:tcPr>
          <w:p>
            <w:pPr>
              <w:pStyle w:val="8"/>
              <w:keepNext w:val="0"/>
              <w:keepLines w:val="0"/>
              <w:pageBreakBefore w:val="0"/>
              <w:widowControl w:val="0"/>
              <w:kinsoku/>
              <w:wordWrap/>
              <w:overflowPunct/>
              <w:topLinePunct w:val="0"/>
              <w:autoSpaceDE w:val="0"/>
              <w:autoSpaceDN w:val="0"/>
              <w:bidi w:val="0"/>
              <w:adjustRightInd/>
              <w:snapToGrid/>
              <w:spacing w:before="11" w:line="380" w:lineRule="exact"/>
              <w:ind w:right="94"/>
              <w:jc w:val="both"/>
              <w:textAlignment w:val="auto"/>
              <w:rPr>
                <w:rFonts w:hint="eastAsia"/>
                <w:spacing w:val="-2"/>
                <w:sz w:val="18"/>
                <w:highlight w:val="none"/>
                <w:lang w:eastAsia="zh-CN"/>
              </w:rPr>
            </w:pPr>
            <w:r>
              <w:rPr>
                <w:rFonts w:hint="eastAsia"/>
                <w:spacing w:val="-2"/>
                <w:sz w:val="18"/>
                <w:highlight w:val="none"/>
                <w:lang w:val="en-US" w:eastAsia="zh-CN"/>
              </w:rPr>
              <w:t>1.</w:t>
            </w:r>
            <w:r>
              <w:rPr>
                <w:rFonts w:hint="eastAsia"/>
                <w:spacing w:val="-2"/>
                <w:sz w:val="18"/>
                <w:highlight w:val="none"/>
                <w:lang w:eastAsia="zh-CN"/>
              </w:rPr>
              <w:t>公用企业应定期对计量器具进行现场检查，发现计量器具损坏或故障的应免费更换。</w:t>
            </w:r>
            <w:r>
              <w:rPr>
                <w:rFonts w:hint="eastAsia"/>
                <w:spacing w:val="-2"/>
                <w:sz w:val="18"/>
                <w:highlight w:val="none"/>
                <w:lang w:val="en-US" w:eastAsia="zh-CN"/>
              </w:rPr>
              <w:t>制定明确的规定，并保存检查记录。</w:t>
            </w:r>
          </w:p>
          <w:p>
            <w:pPr>
              <w:pStyle w:val="8"/>
              <w:keepNext w:val="0"/>
              <w:keepLines w:val="0"/>
              <w:pageBreakBefore w:val="0"/>
              <w:widowControl w:val="0"/>
              <w:kinsoku/>
              <w:wordWrap/>
              <w:overflowPunct/>
              <w:topLinePunct w:val="0"/>
              <w:autoSpaceDE w:val="0"/>
              <w:autoSpaceDN w:val="0"/>
              <w:bidi w:val="0"/>
              <w:adjustRightInd/>
              <w:snapToGrid/>
              <w:spacing w:before="11" w:line="380" w:lineRule="exact"/>
              <w:ind w:right="94"/>
              <w:jc w:val="both"/>
              <w:textAlignment w:val="auto"/>
              <w:rPr>
                <w:spacing w:val="-1"/>
                <w:sz w:val="18"/>
                <w:highlight w:val="none"/>
              </w:rPr>
            </w:pPr>
            <w:r>
              <w:rPr>
                <w:rFonts w:hint="eastAsia"/>
                <w:spacing w:val="-2"/>
                <w:sz w:val="18"/>
                <w:highlight w:val="none"/>
                <w:lang w:val="en-US" w:eastAsia="zh-CN"/>
              </w:rPr>
              <w:t>2.公用企业应定期组织开展计量器具台账检查，计量器具应确保全过程可追溯。制定明确的规定，并保存检查记录。</w:t>
            </w:r>
          </w:p>
          <w:p>
            <w:pPr>
              <w:pStyle w:val="8"/>
              <w:keepNext w:val="0"/>
              <w:keepLines w:val="0"/>
              <w:pageBreakBefore w:val="0"/>
              <w:widowControl w:val="0"/>
              <w:kinsoku/>
              <w:wordWrap/>
              <w:overflowPunct/>
              <w:topLinePunct w:val="0"/>
              <w:autoSpaceDE w:val="0"/>
              <w:autoSpaceDN w:val="0"/>
              <w:bidi w:val="0"/>
              <w:adjustRightInd/>
              <w:snapToGrid/>
              <w:spacing w:before="11" w:line="380" w:lineRule="exact"/>
              <w:ind w:left="0" w:leftChars="0" w:right="94" w:rightChars="0"/>
              <w:jc w:val="both"/>
              <w:textAlignment w:val="auto"/>
              <w:rPr>
                <w:rFonts w:hint="default" w:ascii="宋体" w:hAnsi="宋体" w:eastAsia="宋体" w:cs="宋体"/>
                <w:spacing w:val="-1"/>
                <w:sz w:val="18"/>
                <w:szCs w:val="22"/>
                <w:highlight w:val="none"/>
                <w:lang w:val="en-US" w:eastAsia="zh-CN" w:bidi="ar-SA"/>
              </w:rPr>
            </w:pPr>
          </w:p>
        </w:tc>
        <w:tc>
          <w:tcPr>
            <w:tcW w:w="3586" w:type="dxa"/>
            <w:vAlign w:val="top"/>
          </w:tcPr>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8"/>
              <w:textAlignment w:val="auto"/>
              <w:rPr>
                <w:spacing w:val="-8"/>
                <w:sz w:val="18"/>
                <w:highlight w:val="none"/>
              </w:rPr>
            </w:pPr>
            <w:r>
              <w:rPr>
                <w:rFonts w:hint="eastAsia"/>
                <w:spacing w:val="-2"/>
                <w:sz w:val="18"/>
                <w:highlight w:val="none"/>
                <w:lang w:val="en-US" w:eastAsia="zh-CN"/>
              </w:rPr>
              <w:t>1.</w:t>
            </w:r>
            <w:r>
              <w:rPr>
                <w:spacing w:val="-2"/>
                <w:sz w:val="18"/>
                <w:highlight w:val="none"/>
              </w:rPr>
              <w:t>是否制定了日常检查</w:t>
            </w:r>
            <w:r>
              <w:rPr>
                <w:rFonts w:hint="eastAsia"/>
                <w:spacing w:val="-2"/>
                <w:sz w:val="18"/>
                <w:highlight w:val="none"/>
                <w:lang w:eastAsia="zh-CN"/>
              </w:rPr>
              <w:t>计量器具的</w:t>
            </w:r>
            <w:r>
              <w:rPr>
                <w:spacing w:val="-2"/>
                <w:sz w:val="18"/>
                <w:highlight w:val="none"/>
              </w:rPr>
              <w:t>工作程序</w:t>
            </w:r>
            <w:r>
              <w:rPr>
                <w:spacing w:val="-8"/>
                <w:sz w:val="18"/>
                <w:highlight w:val="none"/>
              </w:rPr>
              <w:t>文件。</w:t>
            </w:r>
            <w:r>
              <w:rPr>
                <w:sz w:val="18"/>
                <w:highlight w:val="none"/>
              </w:rPr>
              <w:t>（5</w:t>
            </w:r>
            <w:r>
              <w:rPr>
                <w:spacing w:val="-20"/>
                <w:sz w:val="18"/>
                <w:highlight w:val="none"/>
              </w:rPr>
              <w:t xml:space="preserve"> 分</w:t>
            </w:r>
            <w:r>
              <w:rPr>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8"/>
              <w:textAlignment w:val="auto"/>
              <w:rPr>
                <w:rFonts w:hint="eastAsia"/>
                <w:spacing w:val="-8"/>
                <w:sz w:val="18"/>
                <w:highlight w:val="none"/>
                <w:lang w:val="en-US" w:eastAsia="zh-CN"/>
              </w:rPr>
            </w:pPr>
            <w:r>
              <w:rPr>
                <w:rFonts w:hint="eastAsia"/>
                <w:spacing w:val="-8"/>
                <w:sz w:val="18"/>
                <w:highlight w:val="none"/>
                <w:lang w:val="en-US" w:eastAsia="zh-CN"/>
              </w:rPr>
              <w:t>2.</w:t>
            </w:r>
            <w:r>
              <w:rPr>
                <w:spacing w:val="-2"/>
                <w:sz w:val="18"/>
                <w:highlight w:val="none"/>
              </w:rPr>
              <w:t>是否制定了检查</w:t>
            </w:r>
            <w:r>
              <w:rPr>
                <w:rFonts w:hint="eastAsia"/>
                <w:spacing w:val="-2"/>
                <w:sz w:val="18"/>
                <w:highlight w:val="none"/>
                <w:lang w:eastAsia="zh-CN"/>
              </w:rPr>
              <w:t>计量器具台账的</w:t>
            </w:r>
            <w:r>
              <w:rPr>
                <w:spacing w:val="-2"/>
                <w:sz w:val="18"/>
                <w:highlight w:val="none"/>
              </w:rPr>
              <w:t>工作程序</w:t>
            </w:r>
            <w:r>
              <w:rPr>
                <w:spacing w:val="-8"/>
                <w:sz w:val="18"/>
                <w:highlight w:val="none"/>
              </w:rPr>
              <w:t>文件。</w:t>
            </w:r>
            <w:r>
              <w:rPr>
                <w:sz w:val="18"/>
                <w:highlight w:val="none"/>
              </w:rPr>
              <w:t>（5</w:t>
            </w:r>
            <w:r>
              <w:rPr>
                <w:spacing w:val="-20"/>
                <w:sz w:val="18"/>
                <w:highlight w:val="none"/>
              </w:rPr>
              <w:t xml:space="preserve"> 分</w:t>
            </w:r>
            <w:r>
              <w:rPr>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8"/>
              <w:textAlignment w:val="auto"/>
              <w:rPr>
                <w:sz w:val="18"/>
                <w:highlight w:val="none"/>
              </w:rPr>
            </w:pPr>
            <w:r>
              <w:rPr>
                <w:rFonts w:hint="eastAsia"/>
                <w:spacing w:val="-8"/>
                <w:sz w:val="18"/>
                <w:highlight w:val="none"/>
                <w:lang w:val="en-US" w:eastAsia="zh-CN"/>
              </w:rPr>
              <w:t>3.</w:t>
            </w:r>
            <w:r>
              <w:rPr>
                <w:spacing w:val="-8"/>
                <w:sz w:val="18"/>
                <w:highlight w:val="none"/>
              </w:rPr>
              <w:t>是否有相关</w:t>
            </w:r>
            <w:r>
              <w:rPr>
                <w:rFonts w:hint="eastAsia"/>
                <w:spacing w:val="-8"/>
                <w:sz w:val="18"/>
                <w:highlight w:val="none"/>
                <w:lang w:eastAsia="zh-CN"/>
              </w:rPr>
              <w:t>检查</w:t>
            </w:r>
            <w:r>
              <w:rPr>
                <w:spacing w:val="-8"/>
                <w:sz w:val="18"/>
                <w:highlight w:val="none"/>
              </w:rPr>
              <w:t>记录。</w:t>
            </w:r>
            <w:r>
              <w:rPr>
                <w:sz w:val="18"/>
                <w:highlight w:val="none"/>
              </w:rPr>
              <w:t>（5</w:t>
            </w:r>
            <w:r>
              <w:rPr>
                <w:spacing w:val="-20"/>
                <w:sz w:val="18"/>
                <w:highlight w:val="none"/>
              </w:rPr>
              <w:t xml:space="preserve"> 分</w:t>
            </w:r>
            <w:r>
              <w:rPr>
                <w:sz w:val="18"/>
                <w:highlight w:val="none"/>
              </w:rPr>
              <w:t>）</w:t>
            </w:r>
          </w:p>
          <w:p>
            <w:pPr>
              <w:pStyle w:val="8"/>
              <w:keepNext w:val="0"/>
              <w:keepLines w:val="0"/>
              <w:pageBreakBefore w:val="0"/>
              <w:widowControl w:val="0"/>
              <w:kinsoku/>
              <w:wordWrap/>
              <w:overflowPunct/>
              <w:topLinePunct w:val="0"/>
              <w:autoSpaceDE w:val="0"/>
              <w:autoSpaceDN w:val="0"/>
              <w:bidi w:val="0"/>
              <w:adjustRightInd/>
              <w:snapToGrid/>
              <w:spacing w:before="9" w:line="380" w:lineRule="exact"/>
              <w:ind w:left="108" w:leftChars="0" w:right="0" w:rightChars="0"/>
              <w:textAlignment w:val="auto"/>
              <w:rPr>
                <w:rFonts w:hint="default" w:ascii="宋体" w:hAnsi="宋体" w:eastAsia="宋体" w:cs="宋体"/>
                <w:sz w:val="18"/>
                <w:szCs w:val="22"/>
                <w:highlight w:val="none"/>
                <w:lang w:val="en-US" w:eastAsia="zh-CN" w:bidi="ar-SA"/>
              </w:rPr>
            </w:pPr>
          </w:p>
        </w:tc>
        <w:tc>
          <w:tcPr>
            <w:tcW w:w="1228"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c>
          <w:tcPr>
            <w:tcW w:w="699" w:type="dxa"/>
          </w:tcPr>
          <w:p>
            <w:pPr>
              <w:pStyle w:val="8"/>
              <w:keepNext w:val="0"/>
              <w:keepLines w:val="0"/>
              <w:pageBreakBefore w:val="0"/>
              <w:widowControl w:val="0"/>
              <w:kinsoku/>
              <w:wordWrap/>
              <w:overflowPunct/>
              <w:topLinePunct w:val="0"/>
              <w:autoSpaceDE w:val="0"/>
              <w:autoSpaceDN w:val="0"/>
              <w:bidi w:val="0"/>
              <w:adjustRightInd/>
              <w:snapToGrid/>
              <w:spacing w:line="380" w:lineRule="exact"/>
              <w:textAlignment w:val="auto"/>
              <w:rPr>
                <w:rFonts w:ascii="Times New Roman"/>
                <w:sz w:val="18"/>
              </w:rPr>
            </w:pPr>
          </w:p>
        </w:tc>
      </w:tr>
    </w:tbl>
    <w:p>
      <w:pPr>
        <w:pStyle w:val="2"/>
        <w:spacing w:before="10"/>
        <w:rPr>
          <w:sz w:val="7"/>
        </w:rPr>
      </w:pPr>
    </w:p>
    <w:p>
      <w:pPr>
        <w:pStyle w:val="2"/>
        <w:spacing w:before="10"/>
        <w:rPr>
          <w:sz w:val="13"/>
        </w:rPr>
      </w:pPr>
    </w:p>
    <w:p>
      <w:pPr>
        <w:pStyle w:val="2"/>
        <w:spacing w:before="12"/>
        <w:rPr>
          <w:sz w:val="9"/>
        </w:rPr>
      </w:pPr>
    </w:p>
    <w:p>
      <w:pPr>
        <w:spacing w:before="1"/>
        <w:ind w:left="280" w:right="0" w:firstLine="0"/>
        <w:jc w:val="left"/>
        <w:rPr>
          <w:sz w:val="18"/>
        </w:rPr>
      </w:pPr>
      <w:r>
        <w:rPr>
          <w:spacing w:val="-5"/>
          <w:sz w:val="18"/>
        </w:rPr>
        <w:t>注：</w:t>
      </w:r>
    </w:p>
    <w:p>
      <w:pPr>
        <w:pStyle w:val="7"/>
        <w:numPr>
          <w:ilvl w:val="1"/>
          <w:numId w:val="7"/>
        </w:numPr>
        <w:tabs>
          <w:tab w:val="left" w:pos="780"/>
        </w:tabs>
        <w:spacing w:before="17" w:after="0" w:line="240" w:lineRule="auto"/>
        <w:ind w:left="779" w:right="0" w:hanging="229"/>
        <w:jc w:val="left"/>
        <w:rPr>
          <w:sz w:val="18"/>
        </w:rPr>
      </w:pPr>
      <w:r>
        <w:rPr>
          <w:spacing w:val="-2"/>
          <w:sz w:val="18"/>
        </w:rPr>
        <w:t>当发现不符合时，应在</w:t>
      </w:r>
      <w:r>
        <w:rPr>
          <w:rFonts w:ascii="Calibri" w:hAnsi="Calibri" w:eastAsia="Calibri"/>
          <w:spacing w:val="-2"/>
          <w:sz w:val="18"/>
        </w:rPr>
        <w:t>“</w:t>
      </w:r>
      <w:r>
        <w:rPr>
          <w:spacing w:val="-2"/>
          <w:sz w:val="18"/>
        </w:rPr>
        <w:t>评价记录</w:t>
      </w:r>
      <w:r>
        <w:rPr>
          <w:rFonts w:ascii="Calibri" w:hAnsi="Calibri" w:eastAsia="Calibri"/>
          <w:spacing w:val="-2"/>
          <w:sz w:val="18"/>
        </w:rPr>
        <w:t>”</w:t>
      </w:r>
      <w:r>
        <w:rPr>
          <w:spacing w:val="-3"/>
          <w:sz w:val="18"/>
        </w:rPr>
        <w:t>栏中注明扣分内容。</w:t>
      </w:r>
    </w:p>
    <w:p>
      <w:pPr>
        <w:pStyle w:val="7"/>
        <w:numPr>
          <w:ilvl w:val="1"/>
          <w:numId w:val="7"/>
        </w:numPr>
        <w:tabs>
          <w:tab w:val="left" w:pos="780"/>
        </w:tabs>
        <w:spacing w:before="10" w:after="0" w:line="240" w:lineRule="auto"/>
        <w:ind w:left="779" w:right="0" w:hanging="229"/>
        <w:jc w:val="left"/>
        <w:rPr>
          <w:sz w:val="18"/>
        </w:rPr>
      </w:pPr>
      <w:r>
        <w:rPr>
          <w:spacing w:val="-4"/>
          <w:sz w:val="18"/>
        </w:rPr>
        <w:t xml:space="preserve">每个二级条款评分不可为 </w:t>
      </w:r>
      <w:r>
        <w:rPr>
          <w:spacing w:val="-2"/>
          <w:sz w:val="18"/>
        </w:rPr>
        <w:t>0</w:t>
      </w:r>
      <w:r>
        <w:rPr>
          <w:spacing w:val="-10"/>
          <w:sz w:val="18"/>
        </w:rPr>
        <w:t>。</w:t>
      </w:r>
    </w:p>
    <w:p>
      <w:pPr>
        <w:pStyle w:val="7"/>
        <w:numPr>
          <w:ilvl w:val="1"/>
          <w:numId w:val="7"/>
        </w:numPr>
        <w:tabs>
          <w:tab w:val="left" w:pos="780"/>
        </w:tabs>
        <w:spacing w:before="9" w:after="0" w:line="240" w:lineRule="auto"/>
        <w:ind w:left="779" w:right="0" w:hanging="229"/>
        <w:jc w:val="left"/>
        <w:rPr>
          <w:sz w:val="18"/>
        </w:rPr>
      </w:pPr>
      <w:r>
        <w:rPr>
          <w:spacing w:val="-1"/>
          <w:sz w:val="18"/>
        </w:rPr>
        <w:t xml:space="preserve">累计分值达到 </w:t>
      </w:r>
      <w:r>
        <w:rPr>
          <w:rFonts w:ascii="Calibri" w:eastAsia="Calibri"/>
          <w:sz w:val="18"/>
        </w:rPr>
        <w:t>80</w:t>
      </w:r>
      <w:r>
        <w:rPr>
          <w:rFonts w:ascii="Calibri" w:eastAsia="Calibri"/>
          <w:spacing w:val="48"/>
          <w:sz w:val="18"/>
        </w:rPr>
        <w:t xml:space="preserve"> </w:t>
      </w:r>
      <w:r>
        <w:rPr>
          <w:spacing w:val="-2"/>
          <w:sz w:val="18"/>
        </w:rPr>
        <w:t>分为评价合格。</w:t>
      </w:r>
    </w:p>
    <w:p>
      <w:pPr>
        <w:spacing w:before="145"/>
        <w:ind w:left="1893" w:right="0" w:firstLine="0"/>
        <w:jc w:val="left"/>
        <w:rPr>
          <w:rFonts w:ascii="Noto Sans SC" w:eastAsia="Noto Sans SC"/>
          <w:b/>
          <w:sz w:val="21"/>
        </w:rPr>
      </w:pPr>
    </w:p>
    <w:p>
      <w:pPr>
        <w:spacing w:before="145"/>
        <w:ind w:left="1893" w:right="0" w:firstLine="0"/>
        <w:jc w:val="left"/>
        <w:rPr>
          <w:rFonts w:ascii="Noto Sans SC" w:eastAsia="Noto Sans SC"/>
          <w:b/>
          <w:sz w:val="21"/>
        </w:rPr>
      </w:pPr>
      <w:r>
        <w:rPr>
          <w:rFonts w:ascii="Noto Sans SC" w:eastAsia="Noto Sans SC"/>
          <w:b/>
          <w:sz w:val="21"/>
        </w:rPr>
        <w:t>单位（盖章</w:t>
      </w:r>
      <w:r>
        <w:rPr>
          <w:rFonts w:ascii="Noto Sans SC" w:eastAsia="Noto Sans SC"/>
          <w:b/>
          <w:spacing w:val="-111"/>
          <w:sz w:val="21"/>
        </w:rPr>
        <w:t>）</w:t>
      </w:r>
      <w:r>
        <w:rPr>
          <w:rFonts w:ascii="Noto Sans SC" w:eastAsia="Noto Sans SC"/>
          <w:b/>
          <w:spacing w:val="-5"/>
          <w:sz w:val="21"/>
        </w:rPr>
        <w:t>：</w:t>
      </w:r>
    </w:p>
    <w:p>
      <w:pPr>
        <w:tabs>
          <w:tab w:val="left" w:pos="5476"/>
          <w:tab w:val="left" w:pos="10731"/>
        </w:tabs>
        <w:spacing w:before="89"/>
        <w:ind w:left="1893" w:right="0" w:firstLine="0"/>
        <w:jc w:val="left"/>
        <w:rPr>
          <w:rFonts w:ascii="Noto Sans SC" w:eastAsia="Noto Sans SC"/>
          <w:b/>
          <w:sz w:val="21"/>
        </w:rPr>
      </w:pPr>
      <w:r>
        <w:rPr>
          <w:rFonts w:ascii="Noto Sans SC" w:eastAsia="Noto Sans SC"/>
          <w:b/>
          <w:sz w:val="21"/>
        </w:rPr>
        <w:t>评价结果</w:t>
      </w:r>
      <w:r>
        <w:rPr>
          <w:rFonts w:ascii="Noto Sans SC" w:eastAsia="Noto Sans SC"/>
          <w:b/>
          <w:spacing w:val="-10"/>
          <w:sz w:val="21"/>
        </w:rPr>
        <w:t>：</w:t>
      </w:r>
      <w:r>
        <w:rPr>
          <w:rFonts w:ascii="Noto Sans SC" w:eastAsia="Noto Sans SC"/>
          <w:b/>
          <w:sz w:val="21"/>
        </w:rPr>
        <w:tab/>
      </w:r>
      <w:r>
        <w:rPr>
          <w:rFonts w:ascii="Noto Sans SC" w:eastAsia="Noto Sans SC"/>
          <w:b/>
          <w:spacing w:val="-2"/>
          <w:sz w:val="21"/>
        </w:rPr>
        <w:t>评价人员签字</w:t>
      </w:r>
      <w:r>
        <w:rPr>
          <w:rFonts w:ascii="Noto Sans SC" w:eastAsia="Noto Sans SC"/>
          <w:b/>
          <w:spacing w:val="-10"/>
          <w:sz w:val="21"/>
        </w:rPr>
        <w:t>：</w:t>
      </w:r>
      <w:r>
        <w:rPr>
          <w:rFonts w:ascii="Noto Sans SC" w:eastAsia="Noto Sans SC"/>
          <w:b/>
          <w:sz w:val="21"/>
        </w:rPr>
        <w:tab/>
      </w:r>
      <w:r>
        <w:rPr>
          <w:rFonts w:ascii="Noto Sans SC" w:eastAsia="Noto Sans SC"/>
          <w:b/>
          <w:sz w:val="21"/>
        </w:rPr>
        <w:t>评价日期</w:t>
      </w:r>
      <w:r>
        <w:rPr>
          <w:rFonts w:ascii="Noto Sans SC" w:eastAsia="Noto Sans SC"/>
          <w:b/>
          <w:spacing w:val="-10"/>
          <w:sz w:val="21"/>
        </w:rPr>
        <w:t>：</w:t>
      </w:r>
    </w:p>
    <w:sectPr>
      <w:pgSz w:w="16840" w:h="11910" w:orient="landscape"/>
      <w:pgMar w:top="1340" w:right="600" w:bottom="280" w:left="13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Noto Sans SC">
    <w:altName w:val="DejaVu Sans"/>
    <w:panose1 w:val="00000000000000000000"/>
    <w:charset w:val="8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EBB59"/>
    <w:multiLevelType w:val="multilevel"/>
    <w:tmpl w:val="A6FEBB59"/>
    <w:lvl w:ilvl="0" w:tentative="0">
      <w:start w:val="1"/>
      <w:numFmt w:val="decimal"/>
      <w:lvlText w:val="%1."/>
      <w:lvlJc w:val="left"/>
      <w:pPr>
        <w:ind w:left="107"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3"/>
      </w:pPr>
      <w:rPr>
        <w:rFonts w:hint="default"/>
        <w:lang w:val="en-US" w:eastAsia="zh-CN" w:bidi="ar-SA"/>
      </w:rPr>
    </w:lvl>
    <w:lvl w:ilvl="2" w:tentative="0">
      <w:start w:val="0"/>
      <w:numFmt w:val="bullet"/>
      <w:lvlText w:val="•"/>
      <w:lvlJc w:val="left"/>
      <w:pPr>
        <w:ind w:left="1127" w:hanging="183"/>
      </w:pPr>
      <w:rPr>
        <w:rFonts w:hint="default"/>
        <w:lang w:val="en-US" w:eastAsia="zh-CN" w:bidi="ar-SA"/>
      </w:rPr>
    </w:lvl>
    <w:lvl w:ilvl="3" w:tentative="0">
      <w:start w:val="0"/>
      <w:numFmt w:val="bullet"/>
      <w:lvlText w:val="•"/>
      <w:lvlJc w:val="left"/>
      <w:pPr>
        <w:ind w:left="1640" w:hanging="183"/>
      </w:pPr>
      <w:rPr>
        <w:rFonts w:hint="default"/>
        <w:lang w:val="en-US" w:eastAsia="zh-CN" w:bidi="ar-SA"/>
      </w:rPr>
    </w:lvl>
    <w:lvl w:ilvl="4" w:tentative="0">
      <w:start w:val="0"/>
      <w:numFmt w:val="bullet"/>
      <w:lvlText w:val="•"/>
      <w:lvlJc w:val="left"/>
      <w:pPr>
        <w:ind w:left="2154" w:hanging="183"/>
      </w:pPr>
      <w:rPr>
        <w:rFonts w:hint="default"/>
        <w:lang w:val="en-US" w:eastAsia="zh-CN" w:bidi="ar-SA"/>
      </w:rPr>
    </w:lvl>
    <w:lvl w:ilvl="5" w:tentative="0">
      <w:start w:val="0"/>
      <w:numFmt w:val="bullet"/>
      <w:lvlText w:val="•"/>
      <w:lvlJc w:val="left"/>
      <w:pPr>
        <w:ind w:left="2667" w:hanging="183"/>
      </w:pPr>
      <w:rPr>
        <w:rFonts w:hint="default"/>
        <w:lang w:val="en-US" w:eastAsia="zh-CN" w:bidi="ar-SA"/>
      </w:rPr>
    </w:lvl>
    <w:lvl w:ilvl="6" w:tentative="0">
      <w:start w:val="0"/>
      <w:numFmt w:val="bullet"/>
      <w:lvlText w:val="•"/>
      <w:lvlJc w:val="left"/>
      <w:pPr>
        <w:ind w:left="3181" w:hanging="183"/>
      </w:pPr>
      <w:rPr>
        <w:rFonts w:hint="default"/>
        <w:lang w:val="en-US" w:eastAsia="zh-CN" w:bidi="ar-SA"/>
      </w:rPr>
    </w:lvl>
    <w:lvl w:ilvl="7" w:tentative="0">
      <w:start w:val="0"/>
      <w:numFmt w:val="bullet"/>
      <w:lvlText w:val="•"/>
      <w:lvlJc w:val="left"/>
      <w:pPr>
        <w:ind w:left="3694" w:hanging="183"/>
      </w:pPr>
      <w:rPr>
        <w:rFonts w:hint="default"/>
        <w:lang w:val="en-US" w:eastAsia="zh-CN" w:bidi="ar-SA"/>
      </w:rPr>
    </w:lvl>
    <w:lvl w:ilvl="8" w:tentative="0">
      <w:start w:val="0"/>
      <w:numFmt w:val="bullet"/>
      <w:lvlText w:val="•"/>
      <w:lvlJc w:val="left"/>
      <w:pPr>
        <w:ind w:left="4208" w:hanging="183"/>
      </w:pPr>
      <w:rPr>
        <w:rFonts w:hint="default"/>
        <w:lang w:val="en-US" w:eastAsia="zh-CN" w:bidi="ar-SA"/>
      </w:rPr>
    </w:lvl>
  </w:abstractNum>
  <w:abstractNum w:abstractNumId="1">
    <w:nsid w:val="CD28F417"/>
    <w:multiLevelType w:val="multilevel"/>
    <w:tmpl w:val="CD28F417"/>
    <w:lvl w:ilvl="0" w:tentative="0">
      <w:start w:val="4"/>
      <w:numFmt w:val="decimal"/>
      <w:lvlText w:val="%1"/>
      <w:lvlJc w:val="left"/>
      <w:pPr>
        <w:ind w:left="270" w:hanging="171"/>
        <w:jc w:val="left"/>
      </w:pPr>
      <w:rPr>
        <w:rFonts w:hint="default"/>
        <w:w w:val="100"/>
        <w:lang w:val="en-US" w:eastAsia="zh-CN" w:bidi="ar-SA"/>
      </w:rPr>
    </w:lvl>
    <w:lvl w:ilvl="1" w:tentative="0">
      <w:start w:val="1"/>
      <w:numFmt w:val="decimal"/>
      <w:lvlText w:val="%2."/>
      <w:lvlJc w:val="left"/>
      <w:pPr>
        <w:ind w:left="779" w:hanging="228"/>
        <w:jc w:val="left"/>
      </w:pPr>
      <w:rPr>
        <w:rFonts w:hint="default" w:ascii="Calibri" w:hAnsi="Calibri" w:eastAsia="Calibri" w:cs="Calibri"/>
        <w:b w:val="0"/>
        <w:bCs w:val="0"/>
        <w:i w:val="0"/>
        <w:iCs w:val="0"/>
        <w:w w:val="100"/>
        <w:sz w:val="18"/>
        <w:szCs w:val="18"/>
        <w:lang w:val="en-US" w:eastAsia="zh-CN" w:bidi="ar-SA"/>
      </w:rPr>
    </w:lvl>
    <w:lvl w:ilvl="2" w:tentative="0">
      <w:start w:val="0"/>
      <w:numFmt w:val="bullet"/>
      <w:lvlText w:val="•"/>
      <w:lvlJc w:val="left"/>
      <w:pPr>
        <w:ind w:left="975" w:hanging="228"/>
      </w:pPr>
      <w:rPr>
        <w:rFonts w:hint="default"/>
        <w:lang w:val="en-US" w:eastAsia="zh-CN" w:bidi="ar-SA"/>
      </w:rPr>
    </w:lvl>
    <w:lvl w:ilvl="3" w:tentative="0">
      <w:start w:val="0"/>
      <w:numFmt w:val="bullet"/>
      <w:lvlText w:val="•"/>
      <w:lvlJc w:val="left"/>
      <w:pPr>
        <w:ind w:left="1171" w:hanging="228"/>
      </w:pPr>
      <w:rPr>
        <w:rFonts w:hint="default"/>
        <w:lang w:val="en-US" w:eastAsia="zh-CN" w:bidi="ar-SA"/>
      </w:rPr>
    </w:lvl>
    <w:lvl w:ilvl="4" w:tentative="0">
      <w:start w:val="0"/>
      <w:numFmt w:val="bullet"/>
      <w:lvlText w:val="•"/>
      <w:lvlJc w:val="left"/>
      <w:pPr>
        <w:ind w:left="1366" w:hanging="228"/>
      </w:pPr>
      <w:rPr>
        <w:rFonts w:hint="default"/>
        <w:lang w:val="en-US" w:eastAsia="zh-CN" w:bidi="ar-SA"/>
      </w:rPr>
    </w:lvl>
    <w:lvl w:ilvl="5" w:tentative="0">
      <w:start w:val="0"/>
      <w:numFmt w:val="bullet"/>
      <w:lvlText w:val="•"/>
      <w:lvlJc w:val="left"/>
      <w:pPr>
        <w:ind w:left="1562" w:hanging="228"/>
      </w:pPr>
      <w:rPr>
        <w:rFonts w:hint="default"/>
        <w:lang w:val="en-US" w:eastAsia="zh-CN" w:bidi="ar-SA"/>
      </w:rPr>
    </w:lvl>
    <w:lvl w:ilvl="6" w:tentative="0">
      <w:start w:val="0"/>
      <w:numFmt w:val="bullet"/>
      <w:lvlText w:val="•"/>
      <w:lvlJc w:val="left"/>
      <w:pPr>
        <w:ind w:left="1758" w:hanging="228"/>
      </w:pPr>
      <w:rPr>
        <w:rFonts w:hint="default"/>
        <w:lang w:val="en-US" w:eastAsia="zh-CN" w:bidi="ar-SA"/>
      </w:rPr>
    </w:lvl>
    <w:lvl w:ilvl="7" w:tentative="0">
      <w:start w:val="0"/>
      <w:numFmt w:val="bullet"/>
      <w:lvlText w:val="•"/>
      <w:lvlJc w:val="left"/>
      <w:pPr>
        <w:ind w:left="1953" w:hanging="228"/>
      </w:pPr>
      <w:rPr>
        <w:rFonts w:hint="default"/>
        <w:lang w:val="en-US" w:eastAsia="zh-CN" w:bidi="ar-SA"/>
      </w:rPr>
    </w:lvl>
    <w:lvl w:ilvl="8" w:tentative="0">
      <w:start w:val="0"/>
      <w:numFmt w:val="bullet"/>
      <w:lvlText w:val="•"/>
      <w:lvlJc w:val="left"/>
      <w:pPr>
        <w:ind w:left="2149" w:hanging="228"/>
      </w:pPr>
      <w:rPr>
        <w:rFonts w:hint="default"/>
        <w:lang w:val="en-US" w:eastAsia="zh-CN" w:bidi="ar-SA"/>
      </w:rPr>
    </w:lvl>
  </w:abstractNum>
  <w:abstractNum w:abstractNumId="2">
    <w:nsid w:val="DEDD2A1C"/>
    <w:multiLevelType w:val="multilevel"/>
    <w:tmpl w:val="DEDD2A1C"/>
    <w:lvl w:ilvl="0" w:tentative="0">
      <w:start w:val="1"/>
      <w:numFmt w:val="decimal"/>
      <w:lvlText w:val="%1."/>
      <w:lvlJc w:val="left"/>
      <w:pPr>
        <w:ind w:left="107"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3"/>
      </w:pPr>
      <w:rPr>
        <w:rFonts w:hint="default"/>
        <w:lang w:val="en-US" w:eastAsia="zh-CN" w:bidi="ar-SA"/>
      </w:rPr>
    </w:lvl>
    <w:lvl w:ilvl="2" w:tentative="0">
      <w:start w:val="0"/>
      <w:numFmt w:val="bullet"/>
      <w:lvlText w:val="•"/>
      <w:lvlJc w:val="left"/>
      <w:pPr>
        <w:ind w:left="1127" w:hanging="183"/>
      </w:pPr>
      <w:rPr>
        <w:rFonts w:hint="default"/>
        <w:lang w:val="en-US" w:eastAsia="zh-CN" w:bidi="ar-SA"/>
      </w:rPr>
    </w:lvl>
    <w:lvl w:ilvl="3" w:tentative="0">
      <w:start w:val="0"/>
      <w:numFmt w:val="bullet"/>
      <w:lvlText w:val="•"/>
      <w:lvlJc w:val="left"/>
      <w:pPr>
        <w:ind w:left="1640" w:hanging="183"/>
      </w:pPr>
      <w:rPr>
        <w:rFonts w:hint="default"/>
        <w:lang w:val="en-US" w:eastAsia="zh-CN" w:bidi="ar-SA"/>
      </w:rPr>
    </w:lvl>
    <w:lvl w:ilvl="4" w:tentative="0">
      <w:start w:val="0"/>
      <w:numFmt w:val="bullet"/>
      <w:lvlText w:val="•"/>
      <w:lvlJc w:val="left"/>
      <w:pPr>
        <w:ind w:left="2154" w:hanging="183"/>
      </w:pPr>
      <w:rPr>
        <w:rFonts w:hint="default"/>
        <w:lang w:val="en-US" w:eastAsia="zh-CN" w:bidi="ar-SA"/>
      </w:rPr>
    </w:lvl>
    <w:lvl w:ilvl="5" w:tentative="0">
      <w:start w:val="0"/>
      <w:numFmt w:val="bullet"/>
      <w:lvlText w:val="•"/>
      <w:lvlJc w:val="left"/>
      <w:pPr>
        <w:ind w:left="2667" w:hanging="183"/>
      </w:pPr>
      <w:rPr>
        <w:rFonts w:hint="default"/>
        <w:lang w:val="en-US" w:eastAsia="zh-CN" w:bidi="ar-SA"/>
      </w:rPr>
    </w:lvl>
    <w:lvl w:ilvl="6" w:tentative="0">
      <w:start w:val="0"/>
      <w:numFmt w:val="bullet"/>
      <w:lvlText w:val="•"/>
      <w:lvlJc w:val="left"/>
      <w:pPr>
        <w:ind w:left="3181" w:hanging="183"/>
      </w:pPr>
      <w:rPr>
        <w:rFonts w:hint="default"/>
        <w:lang w:val="en-US" w:eastAsia="zh-CN" w:bidi="ar-SA"/>
      </w:rPr>
    </w:lvl>
    <w:lvl w:ilvl="7" w:tentative="0">
      <w:start w:val="0"/>
      <w:numFmt w:val="bullet"/>
      <w:lvlText w:val="•"/>
      <w:lvlJc w:val="left"/>
      <w:pPr>
        <w:ind w:left="3694" w:hanging="183"/>
      </w:pPr>
      <w:rPr>
        <w:rFonts w:hint="default"/>
        <w:lang w:val="en-US" w:eastAsia="zh-CN" w:bidi="ar-SA"/>
      </w:rPr>
    </w:lvl>
    <w:lvl w:ilvl="8" w:tentative="0">
      <w:start w:val="0"/>
      <w:numFmt w:val="bullet"/>
      <w:lvlText w:val="•"/>
      <w:lvlJc w:val="left"/>
      <w:pPr>
        <w:ind w:left="4208" w:hanging="183"/>
      </w:pPr>
      <w:rPr>
        <w:rFonts w:hint="default"/>
        <w:lang w:val="en-US" w:eastAsia="zh-CN" w:bidi="ar-SA"/>
      </w:rPr>
    </w:lvl>
  </w:abstractNum>
  <w:abstractNum w:abstractNumId="3">
    <w:nsid w:val="ED768BE6"/>
    <w:multiLevelType w:val="singleLevel"/>
    <w:tmpl w:val="ED768BE6"/>
    <w:lvl w:ilvl="0" w:tentative="0">
      <w:start w:val="1"/>
      <w:numFmt w:val="decimal"/>
      <w:lvlText w:val="%1."/>
      <w:lvlJc w:val="left"/>
      <w:pPr>
        <w:tabs>
          <w:tab w:val="left" w:pos="312"/>
        </w:tabs>
      </w:pPr>
    </w:lvl>
  </w:abstractNum>
  <w:abstractNum w:abstractNumId="4">
    <w:nsid w:val="F9EC3643"/>
    <w:multiLevelType w:val="singleLevel"/>
    <w:tmpl w:val="F9EC3643"/>
    <w:lvl w:ilvl="0" w:tentative="0">
      <w:start w:val="1"/>
      <w:numFmt w:val="decimal"/>
      <w:lvlText w:val="%1."/>
      <w:lvlJc w:val="left"/>
      <w:pPr>
        <w:tabs>
          <w:tab w:val="left" w:pos="312"/>
        </w:tabs>
      </w:pPr>
    </w:lvl>
  </w:abstractNum>
  <w:abstractNum w:abstractNumId="5">
    <w:nsid w:val="37BF830C"/>
    <w:multiLevelType w:val="multilevel"/>
    <w:tmpl w:val="37BF830C"/>
    <w:lvl w:ilvl="0" w:tentative="0">
      <w:start w:val="1"/>
      <w:numFmt w:val="decimal"/>
      <w:lvlText w:val="%1."/>
      <w:lvlJc w:val="left"/>
      <w:pPr>
        <w:ind w:left="108"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429" w:hanging="183"/>
      </w:pPr>
      <w:rPr>
        <w:rFonts w:hint="default"/>
        <w:lang w:val="en-US" w:eastAsia="zh-CN" w:bidi="ar-SA"/>
      </w:rPr>
    </w:lvl>
    <w:lvl w:ilvl="2" w:tentative="0">
      <w:start w:val="0"/>
      <w:numFmt w:val="bullet"/>
      <w:lvlText w:val="•"/>
      <w:lvlJc w:val="left"/>
      <w:pPr>
        <w:ind w:left="758" w:hanging="183"/>
      </w:pPr>
      <w:rPr>
        <w:rFonts w:hint="default"/>
        <w:lang w:val="en-US" w:eastAsia="zh-CN" w:bidi="ar-SA"/>
      </w:rPr>
    </w:lvl>
    <w:lvl w:ilvl="3" w:tentative="0">
      <w:start w:val="0"/>
      <w:numFmt w:val="bullet"/>
      <w:lvlText w:val="•"/>
      <w:lvlJc w:val="left"/>
      <w:pPr>
        <w:ind w:left="1088" w:hanging="183"/>
      </w:pPr>
      <w:rPr>
        <w:rFonts w:hint="default"/>
        <w:lang w:val="en-US" w:eastAsia="zh-CN" w:bidi="ar-SA"/>
      </w:rPr>
    </w:lvl>
    <w:lvl w:ilvl="4" w:tentative="0">
      <w:start w:val="0"/>
      <w:numFmt w:val="bullet"/>
      <w:lvlText w:val="•"/>
      <w:lvlJc w:val="left"/>
      <w:pPr>
        <w:ind w:left="1417" w:hanging="183"/>
      </w:pPr>
      <w:rPr>
        <w:rFonts w:hint="default"/>
        <w:lang w:val="en-US" w:eastAsia="zh-CN" w:bidi="ar-SA"/>
      </w:rPr>
    </w:lvl>
    <w:lvl w:ilvl="5" w:tentative="0">
      <w:start w:val="0"/>
      <w:numFmt w:val="bullet"/>
      <w:lvlText w:val="•"/>
      <w:lvlJc w:val="left"/>
      <w:pPr>
        <w:ind w:left="1747" w:hanging="183"/>
      </w:pPr>
      <w:rPr>
        <w:rFonts w:hint="default"/>
        <w:lang w:val="en-US" w:eastAsia="zh-CN" w:bidi="ar-SA"/>
      </w:rPr>
    </w:lvl>
    <w:lvl w:ilvl="6" w:tentative="0">
      <w:start w:val="0"/>
      <w:numFmt w:val="bullet"/>
      <w:lvlText w:val="•"/>
      <w:lvlJc w:val="left"/>
      <w:pPr>
        <w:ind w:left="2076" w:hanging="183"/>
      </w:pPr>
      <w:rPr>
        <w:rFonts w:hint="default"/>
        <w:lang w:val="en-US" w:eastAsia="zh-CN" w:bidi="ar-SA"/>
      </w:rPr>
    </w:lvl>
    <w:lvl w:ilvl="7" w:tentative="0">
      <w:start w:val="0"/>
      <w:numFmt w:val="bullet"/>
      <w:lvlText w:val="•"/>
      <w:lvlJc w:val="left"/>
      <w:pPr>
        <w:ind w:left="2405" w:hanging="183"/>
      </w:pPr>
      <w:rPr>
        <w:rFonts w:hint="default"/>
        <w:lang w:val="en-US" w:eastAsia="zh-CN" w:bidi="ar-SA"/>
      </w:rPr>
    </w:lvl>
    <w:lvl w:ilvl="8" w:tentative="0">
      <w:start w:val="0"/>
      <w:numFmt w:val="bullet"/>
      <w:lvlText w:val="•"/>
      <w:lvlJc w:val="left"/>
      <w:pPr>
        <w:ind w:left="2735" w:hanging="183"/>
      </w:pPr>
      <w:rPr>
        <w:rFonts w:hint="default"/>
        <w:lang w:val="en-US" w:eastAsia="zh-CN" w:bidi="ar-SA"/>
      </w:rPr>
    </w:lvl>
  </w:abstractNum>
  <w:abstractNum w:abstractNumId="6">
    <w:nsid w:val="7DFB64C0"/>
    <w:multiLevelType w:val="singleLevel"/>
    <w:tmpl w:val="7DFB64C0"/>
    <w:lvl w:ilvl="0" w:tentative="0">
      <w:start w:val="1"/>
      <w:numFmt w:val="decimal"/>
      <w:lvlText w:val="%1."/>
      <w:lvlJc w:val="left"/>
      <w:pPr>
        <w:tabs>
          <w:tab w:val="left" w:pos="312"/>
        </w:tabs>
      </w:pPr>
    </w:lvl>
  </w:abstractNum>
  <w:num w:numId="1">
    <w:abstractNumId w:val="3"/>
  </w:num>
  <w:num w:numId="2">
    <w:abstractNumId w:val="5"/>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11335D6D"/>
    <w:rsid w:val="48FF4BBD"/>
    <w:rsid w:val="4FE70A21"/>
    <w:rsid w:val="57FBA53E"/>
    <w:rsid w:val="5DFB935D"/>
    <w:rsid w:val="5E7AD611"/>
    <w:rsid w:val="6F3C2267"/>
    <w:rsid w:val="6FDD310B"/>
    <w:rsid w:val="726F9831"/>
    <w:rsid w:val="76FE08DA"/>
    <w:rsid w:val="77F696A8"/>
    <w:rsid w:val="7C3F93B4"/>
    <w:rsid w:val="7FBDA8E1"/>
    <w:rsid w:val="A7F92D97"/>
    <w:rsid w:val="AFBF7713"/>
    <w:rsid w:val="B05DA9A0"/>
    <w:rsid w:val="B3ABE1CE"/>
    <w:rsid w:val="BAADB8DD"/>
    <w:rsid w:val="BF7B4157"/>
    <w:rsid w:val="DD7DB6FB"/>
    <w:rsid w:val="DEDDC7C5"/>
    <w:rsid w:val="DEFEA42C"/>
    <w:rsid w:val="E7538369"/>
    <w:rsid w:val="EF7F1688"/>
    <w:rsid w:val="FEFF28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lang w:val="en-US" w:eastAsia="zh-CN" w:bidi="ar-SA"/>
    </w:rPr>
  </w:style>
  <w:style w:type="paragraph" w:styleId="3">
    <w:name w:val="Title"/>
    <w:basedOn w:val="1"/>
    <w:qFormat/>
    <w:uiPriority w:val="1"/>
    <w:pPr>
      <w:ind w:left="109"/>
    </w:pPr>
    <w:rPr>
      <w:rFonts w:ascii="方正小标宋简体" w:hAnsi="方正小标宋简体" w:eastAsia="方正小标宋简体" w:cs="方正小标宋简体"/>
      <w:sz w:val="36"/>
      <w:szCs w:val="36"/>
      <w:lang w:val="en-US" w:eastAsia="zh-CN"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9"/>
      <w:ind w:left="779" w:hanging="229"/>
    </w:pPr>
    <w:rPr>
      <w:rFonts w:ascii="宋体" w:hAnsi="宋体" w:eastAsia="宋体" w:cs="宋体"/>
      <w:lang w:val="en-US" w:eastAsia="zh-CN" w:bidi="ar-SA"/>
    </w:rPr>
  </w:style>
  <w:style w:type="paragraph" w:customStyle="1" w:styleId="8">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2026-07-09T10:48:00Z</dcterms:created>
  <dc:creator>刘金合</dc:creator>
  <cp:lastModifiedBy>scw</cp:lastModifiedBy>
  <dcterms:modified xsi:type="dcterms:W3CDTF">2026-07-22T17:21:26Z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2013</vt:lpwstr>
  </property>
  <property fmtid="{D5CDD505-2E9C-101B-9397-08002B2CF9AE}" pid="4" name="LastSaved">
    <vt:filetime>2026-07-07T00:00:00Z</vt:filetime>
  </property>
  <property fmtid="{D5CDD505-2E9C-101B-9397-08002B2CF9AE}" pid="5" name="Producer">
    <vt:lpwstr>Microsoft® Word 2013</vt:lpwstr>
  </property>
  <property fmtid="{D5CDD505-2E9C-101B-9397-08002B2CF9AE}" pid="6" name="KSOProductBuildVer">
    <vt:lpwstr>2052-11.8.2.9831</vt:lpwstr>
  </property>
</Properties>
</file>